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FBB2" w14:textId="18469A48" w:rsidR="00BC2F44" w:rsidRPr="009A3307" w:rsidRDefault="00BC2F44" w:rsidP="00BC2F44">
      <w:pPr>
        <w:snapToGrid w:val="0"/>
        <w:spacing w:line="312" w:lineRule="auto"/>
        <w:jc w:val="left"/>
        <w:rPr>
          <w:rFonts w:ascii="Times New Roman" w:eastAsia="方正小标宋简体" w:hAnsi="Times New Roman" w:cs="Times New Roman"/>
          <w:sz w:val="32"/>
          <w:szCs w:val="32"/>
        </w:rPr>
      </w:pPr>
      <w:bookmarkStart w:id="0" w:name="_Hlk73976581"/>
      <w:r w:rsidRPr="009A3307">
        <w:rPr>
          <w:rFonts w:ascii="Times New Roman" w:eastAsia="方正小标宋简体" w:hAnsi="Times New Roman" w:cs="Times New Roman"/>
          <w:sz w:val="32"/>
          <w:szCs w:val="32"/>
        </w:rPr>
        <w:t>附件</w:t>
      </w:r>
      <w:r w:rsidR="005868CB" w:rsidRPr="009A3307">
        <w:rPr>
          <w:rFonts w:ascii="Times New Roman" w:eastAsia="方正小标宋简体" w:hAnsi="Times New Roman" w:cs="Times New Roman"/>
          <w:sz w:val="32"/>
          <w:szCs w:val="32"/>
        </w:rPr>
        <w:t>1</w:t>
      </w:r>
    </w:p>
    <w:p w14:paraId="12BD7BA6" w14:textId="33BF3415" w:rsidR="00936BB0" w:rsidRPr="009A3307" w:rsidRDefault="00067033" w:rsidP="00936BB0">
      <w:pPr>
        <w:snapToGrid w:val="0"/>
        <w:spacing w:line="312" w:lineRule="auto"/>
        <w:jc w:val="center"/>
        <w:rPr>
          <w:rFonts w:ascii="Times New Roman" w:eastAsia="方正小标宋简体" w:hAnsi="Times New Roman" w:cs="Times New Roman"/>
          <w:sz w:val="36"/>
          <w:szCs w:val="36"/>
        </w:rPr>
      </w:pPr>
      <w:r w:rsidRPr="009A3307">
        <w:rPr>
          <w:rFonts w:ascii="Times New Roman" w:eastAsia="方正小标宋简体" w:hAnsi="Times New Roman" w:cs="Times New Roman"/>
          <w:sz w:val="36"/>
          <w:szCs w:val="36"/>
        </w:rPr>
        <w:t>“</w:t>
      </w:r>
      <w:r w:rsidRPr="009A3307">
        <w:rPr>
          <w:rFonts w:ascii="Times New Roman" w:eastAsia="方正小标宋简体" w:hAnsi="Times New Roman" w:cs="Times New Roman"/>
          <w:sz w:val="36"/>
          <w:szCs w:val="36"/>
        </w:rPr>
        <w:t>开放创新</w:t>
      </w:r>
      <w:r w:rsidRPr="009A3307">
        <w:rPr>
          <w:rFonts w:ascii="Times New Roman" w:eastAsia="方正小标宋简体" w:hAnsi="Times New Roman" w:cs="Times New Roman"/>
          <w:sz w:val="36"/>
          <w:szCs w:val="36"/>
        </w:rPr>
        <w:t>”</w:t>
      </w:r>
      <w:r w:rsidR="00936BB0" w:rsidRPr="009A3307">
        <w:rPr>
          <w:rFonts w:ascii="Times New Roman" w:eastAsia="方正小标宋简体" w:hAnsi="Times New Roman" w:cs="Times New Roman"/>
          <w:sz w:val="36"/>
          <w:szCs w:val="36"/>
        </w:rPr>
        <w:t>类项目榜单任务指南</w:t>
      </w:r>
      <w:bookmarkEnd w:id="0"/>
    </w:p>
    <w:p w14:paraId="0D18F58A" w14:textId="77777777" w:rsidR="00BE4032" w:rsidRPr="009A3307" w:rsidRDefault="00BE4032" w:rsidP="00936BB0">
      <w:pPr>
        <w:snapToGrid w:val="0"/>
        <w:spacing w:line="312" w:lineRule="auto"/>
        <w:jc w:val="center"/>
        <w:rPr>
          <w:rFonts w:ascii="Times New Roman" w:eastAsia="方正小标宋简体" w:hAnsi="Times New Roman" w:cs="Times New Roman"/>
          <w:sz w:val="36"/>
          <w:szCs w:val="36"/>
        </w:rPr>
      </w:pPr>
    </w:p>
    <w:p w14:paraId="5A17BCA8" w14:textId="60BF0A22" w:rsidR="00BC2F44" w:rsidRPr="009A3307" w:rsidRDefault="00BC2F44" w:rsidP="006B5354">
      <w:pPr>
        <w:snapToGrid w:val="0"/>
        <w:spacing w:after="120" w:line="336" w:lineRule="auto"/>
        <w:jc w:val="center"/>
        <w:rPr>
          <w:rFonts w:ascii="Times New Roman" w:eastAsia="楷体" w:hAnsi="Times New Roman" w:cs="Times New Roman"/>
          <w:b/>
          <w:bCs/>
          <w:color w:val="FF0000"/>
          <w:sz w:val="32"/>
          <w:szCs w:val="32"/>
        </w:rPr>
      </w:pPr>
      <w:r w:rsidRPr="009A3307">
        <w:rPr>
          <w:rFonts w:ascii="Times New Roman" w:eastAsia="黑体" w:hAnsi="Times New Roman" w:cs="Times New Roman"/>
          <w:b/>
          <w:bCs/>
          <w:color w:val="0070C0"/>
          <w:sz w:val="32"/>
          <w:szCs w:val="32"/>
        </w:rPr>
        <w:t>项目</w:t>
      </w:r>
      <w:r w:rsidR="00B35C77" w:rsidRPr="009A3307">
        <w:rPr>
          <w:rFonts w:ascii="Times New Roman" w:eastAsia="黑体" w:hAnsi="Times New Roman" w:cs="Times New Roman"/>
          <w:b/>
          <w:bCs/>
          <w:color w:val="0070C0"/>
          <w:sz w:val="32"/>
          <w:szCs w:val="32"/>
        </w:rPr>
        <w:t>1</w:t>
      </w:r>
      <w:r w:rsidRPr="009A3307">
        <w:rPr>
          <w:rFonts w:ascii="Times New Roman" w:eastAsia="黑体" w:hAnsi="Times New Roman" w:cs="Times New Roman"/>
          <w:b/>
          <w:bCs/>
          <w:color w:val="0070C0"/>
          <w:sz w:val="32"/>
          <w:szCs w:val="32"/>
        </w:rPr>
        <w:t xml:space="preserve"> </w:t>
      </w:r>
      <w:r w:rsidR="006B5354" w:rsidRPr="006B5354">
        <w:rPr>
          <w:rFonts w:ascii="Times New Roman" w:eastAsia="黑体" w:hAnsi="Times New Roman" w:cs="Times New Roman" w:hint="eastAsia"/>
          <w:b/>
          <w:bCs/>
          <w:color w:val="0070C0"/>
          <w:sz w:val="32"/>
          <w:szCs w:val="32"/>
        </w:rPr>
        <w:t>硬质强化相跨尺度调控对铝</w:t>
      </w:r>
      <w:r w:rsidR="006B5354" w:rsidRPr="006B5354">
        <w:rPr>
          <w:rFonts w:ascii="Times New Roman" w:eastAsia="黑体" w:hAnsi="Times New Roman" w:cs="Times New Roman" w:hint="eastAsia"/>
          <w:b/>
          <w:bCs/>
          <w:color w:val="0070C0"/>
          <w:sz w:val="32"/>
          <w:szCs w:val="32"/>
        </w:rPr>
        <w:t>/</w:t>
      </w:r>
      <w:r w:rsidR="006B5354" w:rsidRPr="006B5354">
        <w:rPr>
          <w:rFonts w:ascii="Times New Roman" w:eastAsia="黑体" w:hAnsi="Times New Roman" w:cs="Times New Roman" w:hint="eastAsia"/>
          <w:b/>
          <w:bCs/>
          <w:color w:val="0070C0"/>
          <w:sz w:val="32"/>
          <w:szCs w:val="32"/>
        </w:rPr>
        <w:t>镁合金强塑性协同作用的基础研究</w:t>
      </w:r>
    </w:p>
    <w:p w14:paraId="5BAD51AC" w14:textId="5FACC90D" w:rsidR="00BC2F44" w:rsidRPr="009A3307" w:rsidRDefault="00BC2F44" w:rsidP="00BC2F44">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针对国家对高端装备轻量化与节能减排的战略需求，以及当前铝合金</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镁合金作为关键轻质结构材料面临的“刚度</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强度</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延伸率”性能相互制约的重大技术瓶颈，亟需开展硬质强化相尺度与数量协同调控的基础研究。本研究旨在通过揭示多尺度硬质相对位错运动、应力分布及损伤行为的微观作用机制，构建“成分</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微结构</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性能”的关联规律，最终实现材料刚度、强度与塑性的协同优化，为突破高性能铝</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镁合金设计理论、开发具有自主知识产权的新一代轻量化材料提供核心支撑。</w:t>
      </w:r>
    </w:p>
    <w:p w14:paraId="232308C1" w14:textId="705A4E99" w:rsidR="00BC2F44" w:rsidRPr="009A3307" w:rsidRDefault="00BC2F44"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）基于多尺度计算，揭示硬质强化相的成分、尺度和体积分数对材料性能</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弹性模量、屈服强度、延伸率</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的影响规律，并准确给出延伸率的物理描述和定量评估方法</w:t>
      </w:r>
      <w:r w:rsid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）阐明不同尺度下硬质强化相对材料性能</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弹性模量、屈服强度、延伸率</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的影响差异，并揭示其内在机理。</w:t>
      </w:r>
    </w:p>
    <w:p w14:paraId="1213A2B7" w14:textId="5A38C1AD" w:rsidR="00BC2F44" w:rsidRPr="009A3307" w:rsidRDefault="00BC2F44" w:rsidP="006B5354">
      <w:pPr>
        <w:snapToGrid w:val="0"/>
        <w:spacing w:line="336" w:lineRule="auto"/>
        <w:ind w:firstLineChars="200" w:firstLine="643"/>
        <w:rPr>
          <w:rFonts w:ascii="Times New Roman" w:eastAsia="楷体" w:hAnsi="Times New Roman" w:cs="Times New Roman"/>
          <w:color w:val="FF0000"/>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）建立适用于纳米和微米尺度硬质强化相体系的“结构</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性能”关联模型，阐明成分、尺度与体积分数对铝合金</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镁合金弹性模量、屈服强度及延伸率的影响机制，形成理论预测系统</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以小程序形式呈现</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，并提供相应技术研究报告及模拟程序参数；（</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）选取具有代表性的硬质强化相体系开展</w:t>
      </w:r>
      <w:r w:rsidR="006B5354" w:rsidRPr="006B5354">
        <w:rPr>
          <w:rFonts w:ascii="Times New Roman" w:eastAsia="楷体" w:hAnsi="Times New Roman" w:cs="Times New Roman" w:hint="eastAsia"/>
          <w:sz w:val="32"/>
          <w:szCs w:val="32"/>
        </w:rPr>
        <w:lastRenderedPageBreak/>
        <w:t>实验验证研究，系统分析理论模型的准确性与适用性，提供实验数据分析与模型修正报告；（</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）形成研究报告</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份，发表学术论文</w:t>
      </w:r>
      <w:r w:rsidR="006B5354" w:rsidRPr="006B5354">
        <w:rPr>
          <w:rFonts w:ascii="Times New Roman" w:eastAsia="楷体" w:hAnsi="Times New Roman" w:cs="Times New Roman" w:hint="eastAsia"/>
          <w:sz w:val="32"/>
          <w:szCs w:val="32"/>
        </w:rPr>
        <w:t>1-2</w:t>
      </w:r>
      <w:r w:rsidR="006B5354" w:rsidRPr="006B5354">
        <w:rPr>
          <w:rFonts w:ascii="Times New Roman" w:eastAsia="楷体" w:hAnsi="Times New Roman" w:cs="Times New Roman" w:hint="eastAsia"/>
          <w:sz w:val="32"/>
          <w:szCs w:val="32"/>
        </w:rPr>
        <w:t>篇。</w:t>
      </w:r>
    </w:p>
    <w:p w14:paraId="16560EB7" w14:textId="3AB430F2" w:rsidR="00BC2F44" w:rsidRPr="009A3307" w:rsidRDefault="00BC2F44" w:rsidP="00BC2F4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有色金属结构材料全国重点实验室</w:t>
      </w:r>
    </w:p>
    <w:p w14:paraId="7E7F39D9" w14:textId="1C9EB110" w:rsidR="00BC2F44" w:rsidRPr="009A3307" w:rsidRDefault="00BC2F44" w:rsidP="00BC2F4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肖伟，</w:t>
      </w:r>
      <w:r w:rsidR="006B5354" w:rsidRPr="006B5354">
        <w:rPr>
          <w:rFonts w:ascii="Times New Roman" w:eastAsia="楷体" w:hAnsi="Times New Roman" w:cs="Times New Roman" w:hint="eastAsia"/>
          <w:sz w:val="32"/>
          <w:szCs w:val="32"/>
        </w:rPr>
        <w:t>13521134375</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xiaowei@grinm.com</w:t>
      </w:r>
    </w:p>
    <w:p w14:paraId="430CEA61" w14:textId="266ABDCA" w:rsidR="00BC2F44" w:rsidRPr="009A3307" w:rsidRDefault="00BC2F44" w:rsidP="00936BB0">
      <w:pPr>
        <w:snapToGrid w:val="0"/>
        <w:spacing w:line="336" w:lineRule="auto"/>
        <w:ind w:firstLineChars="200" w:firstLine="640"/>
        <w:rPr>
          <w:rFonts w:ascii="Times New Roman" w:eastAsia="楷体" w:hAnsi="Times New Roman" w:cs="Times New Roman"/>
          <w:sz w:val="32"/>
          <w:szCs w:val="32"/>
        </w:rPr>
      </w:pPr>
    </w:p>
    <w:p w14:paraId="7B1FA7BC" w14:textId="73856307" w:rsidR="00B60A21" w:rsidRPr="009A3307" w:rsidRDefault="00B60A21" w:rsidP="00057F94">
      <w:pPr>
        <w:snapToGrid w:val="0"/>
        <w:spacing w:after="120"/>
        <w:ind w:firstLineChars="200" w:firstLine="643"/>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2 </w:t>
      </w:r>
      <w:r w:rsidR="006B5354" w:rsidRPr="006B5354">
        <w:rPr>
          <w:rFonts w:ascii="Times New Roman" w:eastAsia="黑体" w:hAnsi="Times New Roman" w:cs="Times New Roman" w:hint="eastAsia"/>
          <w:b/>
          <w:bCs/>
          <w:color w:val="0070C0"/>
          <w:sz w:val="32"/>
          <w:szCs w:val="32"/>
        </w:rPr>
        <w:t>高</w:t>
      </w:r>
      <w:r w:rsidR="006B5354" w:rsidRPr="006B5354">
        <w:rPr>
          <w:rFonts w:ascii="Times New Roman" w:eastAsia="黑体" w:hAnsi="Times New Roman" w:cs="Times New Roman" w:hint="eastAsia"/>
          <w:b/>
          <w:bCs/>
          <w:color w:val="0070C0"/>
          <w:sz w:val="32"/>
          <w:szCs w:val="32"/>
        </w:rPr>
        <w:t>Mg</w:t>
      </w:r>
      <w:r w:rsidR="006B5354" w:rsidRPr="006B5354">
        <w:rPr>
          <w:rFonts w:ascii="Times New Roman" w:eastAsia="黑体" w:hAnsi="Times New Roman" w:cs="Times New Roman" w:hint="eastAsia"/>
          <w:b/>
          <w:bCs/>
          <w:color w:val="0070C0"/>
          <w:sz w:val="32"/>
          <w:szCs w:val="32"/>
        </w:rPr>
        <w:t>含量</w:t>
      </w:r>
      <w:r w:rsidR="006B5354" w:rsidRPr="006B5354">
        <w:rPr>
          <w:rFonts w:ascii="Times New Roman" w:eastAsia="黑体" w:hAnsi="Times New Roman" w:cs="Times New Roman" w:hint="eastAsia"/>
          <w:b/>
          <w:bCs/>
          <w:color w:val="0070C0"/>
          <w:sz w:val="32"/>
          <w:szCs w:val="32"/>
        </w:rPr>
        <w:t>Al-Mg-Zn</w:t>
      </w:r>
      <w:r w:rsidR="006B5354" w:rsidRPr="006B5354">
        <w:rPr>
          <w:rFonts w:ascii="Times New Roman" w:eastAsia="黑体" w:hAnsi="Times New Roman" w:cs="Times New Roman" w:hint="eastAsia"/>
          <w:b/>
          <w:bCs/>
          <w:color w:val="0070C0"/>
          <w:sz w:val="32"/>
          <w:szCs w:val="32"/>
        </w:rPr>
        <w:t>合金的高速冲击损伤断裂行为研究</w:t>
      </w:r>
    </w:p>
    <w:p w14:paraId="0872BE7A" w14:textId="3C16BF70" w:rsidR="00B60A21" w:rsidRPr="009A3307" w:rsidRDefault="00B60A21" w:rsidP="00B60A21">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针对现代装甲装备的轻量化、高防护性和高机动性发展对新型轻质高强抗弹材料的迫切需求，以高</w:t>
      </w:r>
      <w:r w:rsidR="006B5354" w:rsidRPr="006B5354">
        <w:rPr>
          <w:rFonts w:ascii="Times New Roman" w:eastAsia="楷体" w:hAnsi="Times New Roman" w:cs="Times New Roman" w:hint="eastAsia"/>
          <w:sz w:val="32"/>
          <w:szCs w:val="32"/>
        </w:rPr>
        <w:t>Mg</w:t>
      </w:r>
      <w:r w:rsidR="006B5354" w:rsidRPr="006B5354">
        <w:rPr>
          <w:rFonts w:ascii="Times New Roman" w:eastAsia="楷体" w:hAnsi="Times New Roman" w:cs="Times New Roman" w:hint="eastAsia"/>
          <w:sz w:val="32"/>
          <w:szCs w:val="32"/>
        </w:rPr>
        <w:t>含量</w:t>
      </w:r>
      <w:r w:rsidR="006B5354" w:rsidRPr="006B5354">
        <w:rPr>
          <w:rFonts w:ascii="Times New Roman" w:eastAsia="楷体" w:hAnsi="Times New Roman" w:cs="Times New Roman" w:hint="eastAsia"/>
          <w:sz w:val="32"/>
          <w:szCs w:val="32"/>
        </w:rPr>
        <w:t>Al-Mg-Zn</w:t>
      </w:r>
      <w:r w:rsidR="006B5354" w:rsidRPr="006B5354">
        <w:rPr>
          <w:rFonts w:ascii="Times New Roman" w:eastAsia="楷体" w:hAnsi="Times New Roman" w:cs="Times New Roman" w:hint="eastAsia"/>
          <w:sz w:val="32"/>
          <w:szCs w:val="32"/>
        </w:rPr>
        <w:t>合金为研究对象，试验模拟</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马赫</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马赫</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马赫冲击（霍普金森杆、轻气炮等），结合微观组织分析，阐明合金的高速冲击损伤断裂行为，揭示微观组织影响损伤断裂行为的作用机制，确定高速冲击断裂性能和基体微观组织的改进方向。</w:t>
      </w:r>
    </w:p>
    <w:p w14:paraId="35020671" w14:textId="376BFA94" w:rsidR="00B60A21" w:rsidRPr="009A3307" w:rsidRDefault="00B60A21"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）高速冲击下高</w:t>
      </w:r>
      <w:r w:rsidR="006B5354" w:rsidRPr="006B5354">
        <w:rPr>
          <w:rFonts w:ascii="Times New Roman" w:eastAsia="楷体" w:hAnsi="Times New Roman" w:cs="Times New Roman" w:hint="eastAsia"/>
          <w:sz w:val="32"/>
          <w:szCs w:val="32"/>
        </w:rPr>
        <w:t>Mg</w:t>
      </w:r>
      <w:r w:rsidR="006B5354" w:rsidRPr="006B5354">
        <w:rPr>
          <w:rFonts w:ascii="Times New Roman" w:eastAsia="楷体" w:hAnsi="Times New Roman" w:cs="Times New Roman" w:hint="eastAsia"/>
          <w:sz w:val="32"/>
          <w:szCs w:val="32"/>
        </w:rPr>
        <w:t>含量</w:t>
      </w:r>
      <w:r w:rsidR="006B5354" w:rsidRPr="006B5354">
        <w:rPr>
          <w:rFonts w:ascii="Times New Roman" w:eastAsia="楷体" w:hAnsi="Times New Roman" w:cs="Times New Roman" w:hint="eastAsia"/>
          <w:sz w:val="32"/>
          <w:szCs w:val="32"/>
        </w:rPr>
        <w:t>Al-Mg-Zn</w:t>
      </w:r>
      <w:r w:rsidR="006B5354" w:rsidRPr="006B5354">
        <w:rPr>
          <w:rFonts w:ascii="Times New Roman" w:eastAsia="楷体" w:hAnsi="Times New Roman" w:cs="Times New Roman" w:hint="eastAsia"/>
          <w:sz w:val="32"/>
          <w:szCs w:val="32"/>
        </w:rPr>
        <w:t>合金微观组织的动态响应与损伤演化机制</w:t>
      </w:r>
      <w:r w:rsid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）高</w:t>
      </w:r>
      <w:r w:rsidR="006B5354" w:rsidRPr="006B5354">
        <w:rPr>
          <w:rFonts w:ascii="Times New Roman" w:eastAsia="楷体" w:hAnsi="Times New Roman" w:cs="Times New Roman" w:hint="eastAsia"/>
          <w:sz w:val="32"/>
          <w:szCs w:val="32"/>
        </w:rPr>
        <w:t>Mg</w:t>
      </w:r>
      <w:r w:rsidR="006B5354" w:rsidRPr="006B5354">
        <w:rPr>
          <w:rFonts w:ascii="Times New Roman" w:eastAsia="楷体" w:hAnsi="Times New Roman" w:cs="Times New Roman" w:hint="eastAsia"/>
          <w:sz w:val="32"/>
          <w:szCs w:val="32"/>
        </w:rPr>
        <w:t>含量</w:t>
      </w:r>
      <w:r w:rsidR="006B5354" w:rsidRPr="006B5354">
        <w:rPr>
          <w:rFonts w:ascii="Times New Roman" w:eastAsia="楷体" w:hAnsi="Times New Roman" w:cs="Times New Roman" w:hint="eastAsia"/>
          <w:sz w:val="32"/>
          <w:szCs w:val="32"/>
        </w:rPr>
        <w:t>Al-Mg-Zn</w:t>
      </w:r>
      <w:r w:rsidR="006B5354" w:rsidRPr="006B5354">
        <w:rPr>
          <w:rFonts w:ascii="Times New Roman" w:eastAsia="楷体" w:hAnsi="Times New Roman" w:cs="Times New Roman" w:hint="eastAsia"/>
          <w:sz w:val="32"/>
          <w:szCs w:val="32"/>
        </w:rPr>
        <w:t>合金耐高速冲击断裂的显微组织特征控制策略</w:t>
      </w:r>
      <w:r w:rsidR="00057F94" w:rsidRPr="009A3307">
        <w:rPr>
          <w:rFonts w:ascii="Times New Roman" w:eastAsia="楷体" w:hAnsi="Times New Roman" w:cs="Times New Roman"/>
          <w:sz w:val="32"/>
          <w:szCs w:val="32"/>
        </w:rPr>
        <w:t>。</w:t>
      </w:r>
    </w:p>
    <w:p w14:paraId="180CC8DB" w14:textId="43AE034F" w:rsidR="00B60A21" w:rsidRPr="009A3307" w:rsidRDefault="00B60A21"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）获得典型热处理状态的高</w:t>
      </w:r>
      <w:r w:rsidR="006B5354" w:rsidRPr="006B5354">
        <w:rPr>
          <w:rFonts w:ascii="Times New Roman" w:eastAsia="楷体" w:hAnsi="Times New Roman" w:cs="Times New Roman" w:hint="eastAsia"/>
          <w:sz w:val="32"/>
          <w:szCs w:val="32"/>
        </w:rPr>
        <w:t>Mg</w:t>
      </w:r>
      <w:r w:rsidR="006B5354" w:rsidRPr="006B5354">
        <w:rPr>
          <w:rFonts w:ascii="Times New Roman" w:eastAsia="楷体" w:hAnsi="Times New Roman" w:cs="Times New Roman" w:hint="eastAsia"/>
          <w:sz w:val="32"/>
          <w:szCs w:val="32"/>
        </w:rPr>
        <w:t>含量</w:t>
      </w:r>
      <w:r w:rsidR="006B5354" w:rsidRPr="006B5354">
        <w:rPr>
          <w:rFonts w:ascii="Times New Roman" w:eastAsia="楷体" w:hAnsi="Times New Roman" w:cs="Times New Roman" w:hint="eastAsia"/>
          <w:sz w:val="32"/>
          <w:szCs w:val="32"/>
        </w:rPr>
        <w:t>Al-Mg-Zn</w:t>
      </w:r>
      <w:r w:rsidR="006B5354" w:rsidRPr="006B5354">
        <w:rPr>
          <w:rFonts w:ascii="Times New Roman" w:eastAsia="楷体" w:hAnsi="Times New Roman" w:cs="Times New Roman" w:hint="eastAsia"/>
          <w:sz w:val="32"/>
          <w:szCs w:val="32"/>
        </w:rPr>
        <w:t>合金高速冲击断裂性能数据、基体和断口的微观组织照片，并与传统的装甲用高强铝合金（</w:t>
      </w:r>
      <w:r w:rsidR="006B5354" w:rsidRPr="006B5354">
        <w:rPr>
          <w:rFonts w:ascii="Times New Roman" w:eastAsia="楷体" w:hAnsi="Times New Roman" w:cs="Times New Roman" w:hint="eastAsia"/>
          <w:sz w:val="32"/>
          <w:szCs w:val="32"/>
        </w:rPr>
        <w:t>5083</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7039</w:t>
      </w:r>
      <w:r w:rsidR="006B5354" w:rsidRPr="006B5354">
        <w:rPr>
          <w:rFonts w:ascii="Times New Roman" w:eastAsia="楷体" w:hAnsi="Times New Roman" w:cs="Times New Roman" w:hint="eastAsia"/>
          <w:sz w:val="32"/>
          <w:szCs w:val="32"/>
        </w:rPr>
        <w:t>合金等）进行比较；（</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）揭示高</w:t>
      </w:r>
      <w:r w:rsidR="006B5354" w:rsidRPr="006B5354">
        <w:rPr>
          <w:rFonts w:ascii="Times New Roman" w:eastAsia="楷体" w:hAnsi="Times New Roman" w:cs="Times New Roman" w:hint="eastAsia"/>
          <w:sz w:val="32"/>
          <w:szCs w:val="32"/>
        </w:rPr>
        <w:t>Mg</w:t>
      </w:r>
      <w:r w:rsidR="006B5354" w:rsidRPr="006B5354">
        <w:rPr>
          <w:rFonts w:ascii="Times New Roman" w:eastAsia="楷体" w:hAnsi="Times New Roman" w:cs="Times New Roman" w:hint="eastAsia"/>
          <w:sz w:val="32"/>
          <w:szCs w:val="32"/>
        </w:rPr>
        <w:t>含量</w:t>
      </w:r>
      <w:r w:rsidR="006B5354" w:rsidRPr="006B5354">
        <w:rPr>
          <w:rFonts w:ascii="Times New Roman" w:eastAsia="楷体" w:hAnsi="Times New Roman" w:cs="Times New Roman" w:hint="eastAsia"/>
          <w:sz w:val="32"/>
          <w:szCs w:val="32"/>
        </w:rPr>
        <w:t>Al-Mg-Zn</w:t>
      </w:r>
      <w:r w:rsidR="006B5354" w:rsidRPr="006B5354">
        <w:rPr>
          <w:rFonts w:ascii="Times New Roman" w:eastAsia="楷体" w:hAnsi="Times New Roman" w:cs="Times New Roman" w:hint="eastAsia"/>
          <w:sz w:val="32"/>
          <w:szCs w:val="32"/>
        </w:rPr>
        <w:t>合金的微观组织（晶粒特征、时效析出相、粗大脆性第二相颗粒、织构等）对高速冲击损伤断裂行为的影响规律，提出耐高速冲击断裂的显微组织特征模式；（</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）形成研究报告</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份，发表学术论文</w:t>
      </w:r>
      <w:r w:rsidR="006B5354" w:rsidRPr="006B5354">
        <w:rPr>
          <w:rFonts w:ascii="Times New Roman" w:eastAsia="楷体" w:hAnsi="Times New Roman" w:cs="Times New Roman" w:hint="eastAsia"/>
          <w:sz w:val="32"/>
          <w:szCs w:val="32"/>
        </w:rPr>
        <w:t>1-2</w:t>
      </w:r>
      <w:r w:rsidR="006B5354" w:rsidRPr="006B5354">
        <w:rPr>
          <w:rFonts w:ascii="Times New Roman" w:eastAsia="楷体" w:hAnsi="Times New Roman" w:cs="Times New Roman" w:hint="eastAsia"/>
          <w:sz w:val="32"/>
          <w:szCs w:val="32"/>
        </w:rPr>
        <w:t>篇。</w:t>
      </w:r>
    </w:p>
    <w:p w14:paraId="3D823BCC" w14:textId="6E32A28F" w:rsidR="00B60A21" w:rsidRPr="009A3307" w:rsidRDefault="00B60A21" w:rsidP="00B60A21">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lastRenderedPageBreak/>
        <w:t>需求方</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有色金属材料制备加工国家重点实验室</w:t>
      </w:r>
    </w:p>
    <w:p w14:paraId="67FFA2E8" w14:textId="3FA3A962" w:rsidR="00B60A21" w:rsidRPr="009A3307" w:rsidRDefault="00B60A21" w:rsidP="00B60A21">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温凯</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13520516379</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wenkai@grinm.com</w:t>
      </w:r>
    </w:p>
    <w:p w14:paraId="4F07D914" w14:textId="16CE1FA5" w:rsidR="00B60A21" w:rsidRPr="009A3307" w:rsidRDefault="00B60A21" w:rsidP="00936BB0">
      <w:pPr>
        <w:snapToGrid w:val="0"/>
        <w:spacing w:line="336" w:lineRule="auto"/>
        <w:ind w:firstLineChars="200" w:firstLine="640"/>
        <w:rPr>
          <w:rFonts w:ascii="Times New Roman" w:eastAsia="楷体" w:hAnsi="Times New Roman" w:cs="Times New Roman"/>
          <w:sz w:val="32"/>
          <w:szCs w:val="32"/>
        </w:rPr>
      </w:pPr>
    </w:p>
    <w:p w14:paraId="30D01D2D" w14:textId="29AACAE2" w:rsidR="00BC3F22" w:rsidRPr="009A3307" w:rsidRDefault="00BC3F22" w:rsidP="006B5354">
      <w:pPr>
        <w:snapToGrid w:val="0"/>
        <w:spacing w:after="120"/>
        <w:jc w:val="center"/>
        <w:rPr>
          <w:rFonts w:ascii="Times New Roman" w:eastAsia="楷体" w:hAnsi="Times New Roman" w:cs="Times New Roman"/>
          <w:color w:val="FF000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3 </w:t>
      </w:r>
      <w:r w:rsidR="006B5354" w:rsidRPr="006B5354">
        <w:rPr>
          <w:rFonts w:ascii="Times New Roman" w:eastAsia="黑体" w:hAnsi="Times New Roman" w:cs="Times New Roman" w:hint="eastAsia"/>
          <w:b/>
          <w:bCs/>
          <w:color w:val="0070C0"/>
          <w:sz w:val="32"/>
          <w:szCs w:val="32"/>
        </w:rPr>
        <w:t>高导电铜基材料微结构设计与电子传输机制研究</w:t>
      </w:r>
    </w:p>
    <w:p w14:paraId="3AFC0DB5" w14:textId="756F4322" w:rsidR="00BC3F22" w:rsidRPr="009A3307" w:rsidRDefault="00BC3F22" w:rsidP="00BC3F22">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高端电力电子传输、航空航天、高铁、人工智能、新能源汽车等行业的快速发展，对高性能铜基材料提出了新的需求。在铜基材料的应用领域中，超过</w:t>
      </w:r>
      <w:r w:rsidR="006B5354" w:rsidRPr="006B5354">
        <w:rPr>
          <w:rFonts w:ascii="Times New Roman" w:eastAsia="楷体" w:hAnsi="Times New Roman" w:cs="Times New Roman" w:hint="eastAsia"/>
          <w:sz w:val="32"/>
          <w:szCs w:val="32"/>
        </w:rPr>
        <w:t>70%</w:t>
      </w:r>
      <w:r w:rsidR="006B5354" w:rsidRPr="006B5354">
        <w:rPr>
          <w:rFonts w:ascii="Times New Roman" w:eastAsia="楷体" w:hAnsi="Times New Roman" w:cs="Times New Roman" w:hint="eastAsia"/>
          <w:sz w:val="32"/>
          <w:szCs w:val="32"/>
        </w:rPr>
        <w:t>是利用铜基材料优异的综合导电性能，且起到不可替代的作用，性能的提高将有效提升信号传输质量、提高效率、降低能耗等，具有巨大的经济价值和节能减排社会效益。针对发展超高导电铜及铜基材料的紧迫需求，开展超高导电铜基新材料的研究，通过实验结合多尺度模拟，建立微观组织特征与导电率的定量关系，揭示晶体取向、晶粒尺寸、界面类型等对电子散射和传输行为的影响机制等，将为超高导电铜基材料设计奠定理论基础，以实现满足国家重大工程需要、支撑产业结构升级以及布局前沿领域的目标。</w:t>
      </w:r>
    </w:p>
    <w:p w14:paraId="3815ECE5" w14:textId="4CCAE37E" w:rsidR="00BC3F22" w:rsidRPr="009A3307" w:rsidRDefault="00BC3F22"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）揭示晶体取向、晶粒尺寸、相界面等铜基材料微观组织特征对电子传输行为的影响规律；（</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）通过多尺度结构设计，建立微观组织</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导电性能的构效关系，实现铜基材料导电性能的显著提升。</w:t>
      </w:r>
    </w:p>
    <w:p w14:paraId="3C2DDAE5" w14:textId="1C797DE4" w:rsidR="00BC3F22" w:rsidRPr="009A3307" w:rsidRDefault="00BC3F22"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明确至少</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种典型微观组织特征，如〈</w:t>
      </w:r>
      <w:r w:rsidR="006B5354" w:rsidRPr="006B5354">
        <w:rPr>
          <w:rFonts w:ascii="Times New Roman" w:eastAsia="楷体" w:hAnsi="Times New Roman" w:cs="Times New Roman" w:hint="eastAsia"/>
          <w:sz w:val="32"/>
          <w:szCs w:val="32"/>
        </w:rPr>
        <w:t>111</w:t>
      </w:r>
      <w:r w:rsidR="006B5354" w:rsidRPr="006B5354">
        <w:rPr>
          <w:rFonts w:ascii="Times New Roman" w:eastAsia="楷体" w:hAnsi="Times New Roman" w:cs="Times New Roman" w:hint="eastAsia"/>
          <w:sz w:val="32"/>
          <w:szCs w:val="32"/>
        </w:rPr>
        <w:t>〉织构比例、晶界类型与含量（特殊晶界、纳米孪晶界、随机晶界等）、纳米相类型</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尺寸</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含量等对电阻率的定量影响规</w:t>
      </w:r>
      <w:r w:rsidR="006B5354" w:rsidRPr="006B5354">
        <w:rPr>
          <w:rFonts w:ascii="Times New Roman" w:eastAsia="楷体" w:hAnsi="Times New Roman" w:cs="Times New Roman" w:hint="eastAsia"/>
          <w:sz w:val="32"/>
          <w:szCs w:val="32"/>
        </w:rPr>
        <w:lastRenderedPageBreak/>
        <w:t>律；（</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）建立涵盖宏观</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介观</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微观尺度的电子传输多尺度模型；（</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）需提供实验数据与理论计算结果，形成研究报告</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份；（</w:t>
      </w:r>
      <w:r w:rsidR="006B5354" w:rsidRPr="006B5354">
        <w:rPr>
          <w:rFonts w:ascii="Times New Roman" w:eastAsia="楷体" w:hAnsi="Times New Roman" w:cs="Times New Roman" w:hint="eastAsia"/>
          <w:sz w:val="32"/>
          <w:szCs w:val="32"/>
        </w:rPr>
        <w:t>4</w:t>
      </w:r>
      <w:r w:rsidR="006B5354" w:rsidRPr="006B5354">
        <w:rPr>
          <w:rFonts w:ascii="Times New Roman" w:eastAsia="楷体" w:hAnsi="Times New Roman" w:cs="Times New Roman" w:hint="eastAsia"/>
          <w:sz w:val="32"/>
          <w:szCs w:val="32"/>
        </w:rPr>
        <w:t>）发表学术论文</w:t>
      </w:r>
      <w:r w:rsidR="006B5354" w:rsidRPr="006B5354">
        <w:rPr>
          <w:rFonts w:ascii="Times New Roman" w:eastAsia="楷体" w:hAnsi="Times New Roman" w:cs="Times New Roman" w:hint="eastAsia"/>
          <w:sz w:val="32"/>
          <w:szCs w:val="32"/>
        </w:rPr>
        <w:t>1-2</w:t>
      </w:r>
      <w:r w:rsidR="006B5354" w:rsidRPr="006B5354">
        <w:rPr>
          <w:rFonts w:ascii="Times New Roman" w:eastAsia="楷体" w:hAnsi="Times New Roman" w:cs="Times New Roman" w:hint="eastAsia"/>
          <w:sz w:val="32"/>
          <w:szCs w:val="32"/>
        </w:rPr>
        <w:t>篇。</w:t>
      </w:r>
    </w:p>
    <w:p w14:paraId="37D8D7DE" w14:textId="5317E59A" w:rsidR="00BC3F22" w:rsidRPr="009A3307" w:rsidRDefault="00BC3F22" w:rsidP="005A30C8">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雁栖湖特种有色金属材料创新中心</w:t>
      </w:r>
    </w:p>
    <w:p w14:paraId="14DE3DE9" w14:textId="79100823" w:rsidR="00BC3F22" w:rsidRPr="009A3307" w:rsidRDefault="00BC3F22" w:rsidP="005A30C8">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张文婧，</w:t>
      </w:r>
      <w:r w:rsidR="006B5354" w:rsidRPr="006B5354">
        <w:rPr>
          <w:rFonts w:ascii="Times New Roman" w:eastAsia="楷体" w:hAnsi="Times New Roman" w:cs="Times New Roman" w:hint="eastAsia"/>
          <w:sz w:val="32"/>
          <w:szCs w:val="32"/>
        </w:rPr>
        <w:t>18911970343</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zhangwenjing@grinm.com</w:t>
      </w:r>
    </w:p>
    <w:p w14:paraId="7185B07A" w14:textId="77777777" w:rsidR="00BC3F22" w:rsidRPr="009A3307" w:rsidRDefault="00BC3F22" w:rsidP="00936BB0">
      <w:pPr>
        <w:snapToGrid w:val="0"/>
        <w:spacing w:line="336" w:lineRule="auto"/>
        <w:ind w:firstLineChars="200" w:firstLine="640"/>
        <w:rPr>
          <w:rFonts w:ascii="Times New Roman" w:eastAsia="楷体" w:hAnsi="Times New Roman" w:cs="Times New Roman"/>
          <w:sz w:val="32"/>
          <w:szCs w:val="32"/>
        </w:rPr>
      </w:pPr>
    </w:p>
    <w:p w14:paraId="4138058D" w14:textId="3263F373" w:rsidR="00D07DFD" w:rsidRPr="009A3307" w:rsidRDefault="00D07DFD" w:rsidP="006B5354">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4 </w:t>
      </w:r>
      <w:r w:rsidR="006B5354" w:rsidRPr="006B5354">
        <w:rPr>
          <w:rFonts w:ascii="Times New Roman" w:eastAsia="黑体" w:hAnsi="Times New Roman" w:cs="Times New Roman" w:hint="eastAsia"/>
          <w:b/>
          <w:bCs/>
          <w:color w:val="0070C0"/>
          <w:sz w:val="32"/>
          <w:szCs w:val="32"/>
        </w:rPr>
        <w:t>多服役适用性的永磁体绿色锌合金共沉积镀层开发</w:t>
      </w:r>
    </w:p>
    <w:p w14:paraId="1D39CB2A" w14:textId="7F510F4F"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随着</w:t>
      </w:r>
      <w:r w:rsidR="006B5354" w:rsidRPr="006B5354">
        <w:rPr>
          <w:rFonts w:ascii="Times New Roman" w:eastAsia="楷体" w:hAnsi="Times New Roman" w:cs="Times New Roman" w:hint="eastAsia"/>
          <w:sz w:val="32"/>
          <w:szCs w:val="32"/>
        </w:rPr>
        <w:t>Nd-Fe-B</w:t>
      </w:r>
      <w:r w:rsidR="006B5354" w:rsidRPr="006B5354">
        <w:rPr>
          <w:rFonts w:ascii="Times New Roman" w:eastAsia="楷体" w:hAnsi="Times New Roman" w:cs="Times New Roman" w:hint="eastAsia"/>
          <w:sz w:val="32"/>
          <w:szCs w:val="32"/>
        </w:rPr>
        <w:t>磁体应用范围的拓宽，面临着服役条件的复杂化，如高温、高湿或酸碱性环境等，相较于单质金属镀层，合金镀层更能够适应不同的服役要求。针对磁体不同服役条件下的防腐性能要求，开展以烧结</w:t>
      </w:r>
      <w:r w:rsidR="006B5354" w:rsidRPr="006B5354">
        <w:rPr>
          <w:rFonts w:ascii="Times New Roman" w:eastAsia="楷体" w:hAnsi="Times New Roman" w:cs="Times New Roman" w:hint="eastAsia"/>
          <w:sz w:val="32"/>
          <w:szCs w:val="32"/>
        </w:rPr>
        <w:t>Nd-Fe-B</w:t>
      </w:r>
      <w:r w:rsidR="006B5354" w:rsidRPr="006B5354">
        <w:rPr>
          <w:rFonts w:ascii="Times New Roman" w:eastAsia="楷体" w:hAnsi="Times New Roman" w:cs="Times New Roman" w:hint="eastAsia"/>
          <w:sz w:val="32"/>
          <w:szCs w:val="32"/>
        </w:rPr>
        <w:t>磁体为基体的多元合金镀层电共沉积研究，设计以</w:t>
      </w:r>
      <w:r w:rsidR="006B5354" w:rsidRPr="006B5354">
        <w:rPr>
          <w:rFonts w:ascii="Times New Roman" w:eastAsia="楷体" w:hAnsi="Times New Roman" w:cs="Times New Roman" w:hint="eastAsia"/>
          <w:sz w:val="32"/>
          <w:szCs w:val="32"/>
        </w:rPr>
        <w:t>Zn</w:t>
      </w:r>
      <w:r w:rsidR="006B5354" w:rsidRPr="006B5354">
        <w:rPr>
          <w:rFonts w:ascii="Times New Roman" w:eastAsia="楷体" w:hAnsi="Times New Roman" w:cs="Times New Roman" w:hint="eastAsia"/>
          <w:sz w:val="32"/>
          <w:szCs w:val="32"/>
        </w:rPr>
        <w:t>为主体元素电沉积多元合金镀层，发挥多元素协同效应，提高磁体服役环境的适用性；开展不同种类</w:t>
      </w:r>
      <w:r w:rsidR="006B5354" w:rsidRPr="006B5354">
        <w:rPr>
          <w:rFonts w:ascii="Times New Roman" w:eastAsia="楷体" w:hAnsi="Times New Roman" w:cs="Times New Roman" w:hint="eastAsia"/>
          <w:sz w:val="32"/>
          <w:szCs w:val="32"/>
        </w:rPr>
        <w:t>Zn</w:t>
      </w:r>
      <w:r w:rsidR="006B5354" w:rsidRPr="006B5354">
        <w:rPr>
          <w:rFonts w:ascii="Times New Roman" w:eastAsia="楷体" w:hAnsi="Times New Roman" w:cs="Times New Roman" w:hint="eastAsia"/>
          <w:sz w:val="32"/>
          <w:szCs w:val="32"/>
        </w:rPr>
        <w:t>合金镀层的电沉积机制及其在复杂环境的腐蚀机制的研究。制备针对不同服役条件的合金镀层，实现电镀液和处理液中不含有</w:t>
      </w:r>
      <w:r w:rsidR="006B5354" w:rsidRPr="006B5354">
        <w:rPr>
          <w:rFonts w:ascii="Times New Roman" w:eastAsia="楷体" w:hAnsi="Times New Roman" w:cs="Times New Roman" w:hint="eastAsia"/>
          <w:sz w:val="32"/>
          <w:szCs w:val="32"/>
        </w:rPr>
        <w:t>Cr</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Cd</w:t>
      </w:r>
      <w:r w:rsidR="006B5354" w:rsidRPr="006B5354">
        <w:rPr>
          <w:rFonts w:ascii="Times New Roman" w:eastAsia="楷体" w:hAnsi="Times New Roman" w:cs="Times New Roman" w:hint="eastAsia"/>
          <w:sz w:val="32"/>
          <w:szCs w:val="32"/>
        </w:rPr>
        <w:t>、氰化物等有毒有害物质、合金镀层性能达到不同服役环境耐蚀性要求的目标。</w:t>
      </w:r>
    </w:p>
    <w:p w14:paraId="4D33D509" w14:textId="4DC92666" w:rsidR="00D07DFD" w:rsidRPr="009A3307" w:rsidRDefault="00D07DFD"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）合金镀层共沉积的形成机制；（</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）合金镀层在多物理场下的腐蚀机理。</w:t>
      </w:r>
    </w:p>
    <w:p w14:paraId="58809EBF" w14:textId="7928DA19" w:rsidR="00D07DFD" w:rsidRPr="009A3307" w:rsidRDefault="00D07DFD" w:rsidP="006B535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）电镀液和处理液中不含有</w:t>
      </w:r>
      <w:r w:rsidR="006B5354" w:rsidRPr="006B5354">
        <w:rPr>
          <w:rFonts w:ascii="Times New Roman" w:eastAsia="楷体" w:hAnsi="Times New Roman" w:cs="Times New Roman" w:hint="eastAsia"/>
          <w:sz w:val="32"/>
          <w:szCs w:val="32"/>
        </w:rPr>
        <w:t>Cr</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Cd</w:t>
      </w:r>
      <w:r w:rsidR="006B5354" w:rsidRPr="006B5354">
        <w:rPr>
          <w:rFonts w:ascii="Times New Roman" w:eastAsia="楷体" w:hAnsi="Times New Roman" w:cs="Times New Roman" w:hint="eastAsia"/>
          <w:sz w:val="32"/>
          <w:szCs w:val="32"/>
        </w:rPr>
        <w:t>、氰化物等有毒有害物质，有效减少</w:t>
      </w:r>
      <w:r w:rsidR="006B5354" w:rsidRPr="006B5354">
        <w:rPr>
          <w:rFonts w:ascii="Times New Roman" w:eastAsia="楷体" w:hAnsi="Times New Roman" w:cs="Times New Roman" w:hint="eastAsia"/>
          <w:sz w:val="32"/>
          <w:szCs w:val="32"/>
        </w:rPr>
        <w:t>Ni</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Cu</w:t>
      </w:r>
      <w:r w:rsidR="006B5354" w:rsidRPr="006B5354">
        <w:rPr>
          <w:rFonts w:ascii="Times New Roman" w:eastAsia="楷体" w:hAnsi="Times New Roman" w:cs="Times New Roman" w:hint="eastAsia"/>
          <w:sz w:val="32"/>
          <w:szCs w:val="32"/>
        </w:rPr>
        <w:t>等金属离子浓度；（</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）合金镀层性能：中性盐雾试验，出现白锈的时间达到</w:t>
      </w:r>
      <w:r w:rsidR="006B5354" w:rsidRPr="006B5354">
        <w:rPr>
          <w:rFonts w:ascii="Times New Roman" w:eastAsia="楷体" w:hAnsi="Times New Roman" w:cs="Times New Roman" w:hint="eastAsia"/>
          <w:sz w:val="32"/>
          <w:szCs w:val="32"/>
        </w:rPr>
        <w:t>120 h</w:t>
      </w:r>
      <w:r w:rsidR="006B5354" w:rsidRPr="006B5354">
        <w:rPr>
          <w:rFonts w:ascii="Times New Roman" w:eastAsia="楷体" w:hAnsi="Times New Roman" w:cs="Times New Roman" w:hint="eastAsia"/>
          <w:sz w:val="32"/>
          <w:szCs w:val="32"/>
        </w:rPr>
        <w:t>及以上；镀层结合力达到</w:t>
      </w:r>
      <w:r w:rsidR="006B5354" w:rsidRPr="006B5354">
        <w:rPr>
          <w:rFonts w:ascii="Times New Roman" w:eastAsia="楷体" w:hAnsi="Times New Roman" w:cs="Times New Roman" w:hint="eastAsia"/>
          <w:sz w:val="32"/>
          <w:szCs w:val="32"/>
        </w:rPr>
        <w:t>20 MPa</w:t>
      </w:r>
      <w:r w:rsidR="006B5354" w:rsidRPr="006B5354">
        <w:rPr>
          <w:rFonts w:ascii="Times New Roman" w:eastAsia="楷体" w:hAnsi="Times New Roman" w:cs="Times New Roman" w:hint="eastAsia"/>
          <w:sz w:val="32"/>
          <w:szCs w:val="32"/>
        </w:rPr>
        <w:t>及以上</w:t>
      </w:r>
      <w:r w:rsidR="006B5354" w:rsidRPr="006B5354">
        <w:rPr>
          <w:rFonts w:ascii="Times New Roman" w:eastAsia="楷体" w:hAnsi="Times New Roman" w:cs="Times New Roman" w:hint="eastAsia"/>
          <w:sz w:val="32"/>
          <w:szCs w:val="32"/>
        </w:rPr>
        <w:t xml:space="preserve">; </w:t>
      </w:r>
      <w:r w:rsidR="006B5354" w:rsidRPr="006B5354">
        <w:rPr>
          <w:rFonts w:ascii="Times New Roman" w:eastAsia="楷体" w:hAnsi="Times New Roman" w:cs="Times New Roman" w:hint="eastAsia"/>
          <w:sz w:val="32"/>
          <w:szCs w:val="32"/>
        </w:rPr>
        <w:t>镀层的硬度达到</w:t>
      </w:r>
      <w:r w:rsidR="006B5354" w:rsidRPr="006B5354">
        <w:rPr>
          <w:rFonts w:ascii="Times New Roman" w:eastAsia="楷体" w:hAnsi="Times New Roman" w:cs="Times New Roman" w:hint="eastAsia"/>
          <w:sz w:val="32"/>
          <w:szCs w:val="32"/>
        </w:rPr>
        <w:t>120 HV</w:t>
      </w:r>
      <w:r w:rsidR="006B5354" w:rsidRPr="006B5354">
        <w:rPr>
          <w:rFonts w:ascii="Times New Roman" w:eastAsia="楷体" w:hAnsi="Times New Roman" w:cs="Times New Roman" w:hint="eastAsia"/>
          <w:sz w:val="32"/>
          <w:szCs w:val="32"/>
        </w:rPr>
        <w:t>及以上。双</w:t>
      </w:r>
      <w:r w:rsidR="006B5354" w:rsidRPr="006B5354">
        <w:rPr>
          <w:rFonts w:ascii="Times New Roman" w:eastAsia="楷体" w:hAnsi="Times New Roman" w:cs="Times New Roman" w:hint="eastAsia"/>
          <w:sz w:val="32"/>
          <w:szCs w:val="32"/>
        </w:rPr>
        <w:t>85</w:t>
      </w:r>
      <w:r w:rsidR="006B5354" w:rsidRPr="006B5354">
        <w:rPr>
          <w:rFonts w:ascii="Times New Roman" w:eastAsia="楷体" w:hAnsi="Times New Roman" w:cs="Times New Roman" w:hint="eastAsia"/>
          <w:sz w:val="32"/>
          <w:szCs w:val="32"/>
        </w:rPr>
        <w:t>湿热实验出现白化的时间达到</w:t>
      </w:r>
      <w:r w:rsidR="006B5354" w:rsidRPr="006B5354">
        <w:rPr>
          <w:rFonts w:ascii="Times New Roman" w:eastAsia="楷体" w:hAnsi="Times New Roman" w:cs="Times New Roman" w:hint="eastAsia"/>
          <w:sz w:val="32"/>
          <w:szCs w:val="32"/>
        </w:rPr>
        <w:t>48 h</w:t>
      </w:r>
      <w:r w:rsidR="006B5354" w:rsidRPr="006B5354">
        <w:rPr>
          <w:rFonts w:ascii="Times New Roman" w:eastAsia="楷体" w:hAnsi="Times New Roman" w:cs="Times New Roman" w:hint="eastAsia"/>
          <w:sz w:val="32"/>
          <w:szCs w:val="32"/>
        </w:rPr>
        <w:t>及以上；（</w:t>
      </w:r>
      <w:r w:rsidR="006B5354" w:rsidRPr="006B5354">
        <w:rPr>
          <w:rFonts w:ascii="Times New Roman" w:eastAsia="楷体" w:hAnsi="Times New Roman" w:cs="Times New Roman" w:hint="eastAsia"/>
          <w:sz w:val="32"/>
          <w:szCs w:val="32"/>
        </w:rPr>
        <w:t>3</w:t>
      </w:r>
      <w:r w:rsidR="006B5354" w:rsidRP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lastRenderedPageBreak/>
        <w:t>发表</w:t>
      </w:r>
      <w:r w:rsidR="006B5354" w:rsidRPr="006B5354">
        <w:rPr>
          <w:rFonts w:ascii="Times New Roman" w:eastAsia="楷体" w:hAnsi="Times New Roman" w:cs="Times New Roman" w:hint="eastAsia"/>
          <w:sz w:val="32"/>
          <w:szCs w:val="32"/>
        </w:rPr>
        <w:t>SCI</w:t>
      </w:r>
      <w:r w:rsidR="006B5354" w:rsidRPr="006B5354">
        <w:rPr>
          <w:rFonts w:ascii="Times New Roman" w:eastAsia="楷体" w:hAnsi="Times New Roman" w:cs="Times New Roman" w:hint="eastAsia"/>
          <w:sz w:val="32"/>
          <w:szCs w:val="32"/>
        </w:rPr>
        <w:t>论文</w:t>
      </w:r>
      <w:r w:rsidR="006B5354" w:rsidRPr="006B5354">
        <w:rPr>
          <w:rFonts w:ascii="Times New Roman" w:eastAsia="楷体" w:hAnsi="Times New Roman" w:cs="Times New Roman" w:hint="eastAsia"/>
          <w:sz w:val="32"/>
          <w:szCs w:val="32"/>
        </w:rPr>
        <w:t>2</w:t>
      </w:r>
      <w:r w:rsidR="006B5354" w:rsidRPr="006B5354">
        <w:rPr>
          <w:rFonts w:ascii="Times New Roman" w:eastAsia="楷体" w:hAnsi="Times New Roman" w:cs="Times New Roman" w:hint="eastAsia"/>
          <w:sz w:val="32"/>
          <w:szCs w:val="32"/>
        </w:rPr>
        <w:t>篇，申请国家发明专利</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项，培养硕士研究生</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名，博士研究生</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名；（</w:t>
      </w:r>
      <w:r w:rsidR="006B5354" w:rsidRPr="006B5354">
        <w:rPr>
          <w:rFonts w:ascii="Times New Roman" w:eastAsia="楷体" w:hAnsi="Times New Roman" w:cs="Times New Roman" w:hint="eastAsia"/>
          <w:sz w:val="32"/>
          <w:szCs w:val="32"/>
        </w:rPr>
        <w:t>4</w:t>
      </w:r>
      <w:r w:rsidR="006B5354" w:rsidRPr="006B5354">
        <w:rPr>
          <w:rFonts w:ascii="Times New Roman" w:eastAsia="楷体" w:hAnsi="Times New Roman" w:cs="Times New Roman" w:hint="eastAsia"/>
          <w:sz w:val="32"/>
          <w:szCs w:val="32"/>
        </w:rPr>
        <w:t>）提交技术研究报告</w:t>
      </w:r>
      <w:r w:rsidR="006B5354" w:rsidRPr="006B5354">
        <w:rPr>
          <w:rFonts w:ascii="Times New Roman" w:eastAsia="楷体" w:hAnsi="Times New Roman" w:cs="Times New Roman" w:hint="eastAsia"/>
          <w:sz w:val="32"/>
          <w:szCs w:val="32"/>
        </w:rPr>
        <w:t>1</w:t>
      </w:r>
      <w:r w:rsidR="006B5354" w:rsidRPr="006B5354">
        <w:rPr>
          <w:rFonts w:ascii="Times New Roman" w:eastAsia="楷体" w:hAnsi="Times New Roman" w:cs="Times New Roman" w:hint="eastAsia"/>
          <w:sz w:val="32"/>
          <w:szCs w:val="32"/>
        </w:rPr>
        <w:t>份。</w:t>
      </w:r>
    </w:p>
    <w:p w14:paraId="5956F57A" w14:textId="57F06EB0"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稀土国家工程研究中心</w:t>
      </w:r>
    </w:p>
    <w:p w14:paraId="0BE73DBC" w14:textId="3295B61E" w:rsidR="00D07DFD" w:rsidRPr="009A3307" w:rsidRDefault="00D07DFD" w:rsidP="00AC1CD6">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6B5354" w:rsidRPr="006B5354">
        <w:rPr>
          <w:rFonts w:ascii="Times New Roman" w:eastAsia="楷体" w:hAnsi="Times New Roman" w:cs="Times New Roman" w:hint="eastAsia"/>
          <w:sz w:val="32"/>
          <w:szCs w:val="32"/>
        </w:rPr>
        <w:t>罗</w:t>
      </w:r>
      <w:r w:rsidR="006B5354">
        <w:rPr>
          <w:rFonts w:ascii="Times New Roman" w:eastAsia="楷体" w:hAnsi="Times New Roman" w:cs="Times New Roman" w:hint="eastAsia"/>
          <w:sz w:val="32"/>
          <w:szCs w:val="32"/>
        </w:rPr>
        <w:t xml:space="preserve">  </w:t>
      </w:r>
      <w:r w:rsidR="006B5354" w:rsidRPr="006B5354">
        <w:rPr>
          <w:rFonts w:ascii="Times New Roman" w:eastAsia="楷体" w:hAnsi="Times New Roman" w:cs="Times New Roman" w:hint="eastAsia"/>
          <w:sz w:val="32"/>
          <w:szCs w:val="32"/>
        </w:rPr>
        <w:t>阳</w:t>
      </w:r>
      <w:r w:rsid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13581586103</w:t>
      </w:r>
      <w:r w:rsidR="006B5354">
        <w:rPr>
          <w:rFonts w:ascii="Times New Roman" w:eastAsia="楷体" w:hAnsi="Times New Roman" w:cs="Times New Roman" w:hint="eastAsia"/>
          <w:sz w:val="32"/>
          <w:szCs w:val="32"/>
        </w:rPr>
        <w:t>，</w:t>
      </w:r>
      <w:r w:rsidR="006B5354" w:rsidRPr="006B5354">
        <w:rPr>
          <w:rFonts w:ascii="Times New Roman" w:eastAsia="楷体" w:hAnsi="Times New Roman" w:cs="Times New Roman" w:hint="eastAsia"/>
          <w:sz w:val="32"/>
          <w:szCs w:val="32"/>
        </w:rPr>
        <w:t>luo@grirem.com</w:t>
      </w:r>
    </w:p>
    <w:p w14:paraId="2ED7C28C" w14:textId="501A086E" w:rsidR="00B60A21" w:rsidRPr="009A3307" w:rsidRDefault="00B60A21" w:rsidP="00AC1CD6">
      <w:pPr>
        <w:snapToGrid w:val="0"/>
        <w:spacing w:line="336" w:lineRule="auto"/>
        <w:ind w:firstLineChars="200" w:firstLine="640"/>
        <w:jc w:val="left"/>
        <w:rPr>
          <w:rFonts w:ascii="Times New Roman" w:eastAsia="楷体" w:hAnsi="Times New Roman" w:cs="Times New Roman"/>
          <w:sz w:val="32"/>
          <w:szCs w:val="32"/>
        </w:rPr>
      </w:pPr>
    </w:p>
    <w:p w14:paraId="2623F4FD" w14:textId="7F1554A0" w:rsidR="00E37474" w:rsidRPr="009A3307" w:rsidRDefault="00E37474" w:rsidP="00E37474">
      <w:pPr>
        <w:snapToGrid w:val="0"/>
        <w:spacing w:after="120" w:line="336" w:lineRule="auto"/>
        <w:jc w:val="center"/>
        <w:rPr>
          <w:rFonts w:ascii="Times New Roman" w:eastAsia="楷体" w:hAnsi="Times New Roman" w:cs="Times New Roman"/>
          <w:b/>
          <w:bCs/>
          <w:color w:val="FF000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5 </w:t>
      </w:r>
      <w:r w:rsidR="00094985" w:rsidRPr="00094985">
        <w:rPr>
          <w:rFonts w:ascii="Times New Roman" w:eastAsia="黑体" w:hAnsi="Times New Roman" w:cs="Times New Roman" w:hint="eastAsia"/>
          <w:b/>
          <w:bCs/>
          <w:color w:val="0070C0"/>
          <w:sz w:val="32"/>
          <w:szCs w:val="32"/>
        </w:rPr>
        <w:t>高强高电导多孔炭材料及储能应用</w:t>
      </w:r>
    </w:p>
    <w:p w14:paraId="4C7A6786" w14:textId="09A22793" w:rsidR="00E37474" w:rsidRPr="009A3307" w:rsidRDefault="00E37474" w:rsidP="00E37474">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094985" w:rsidRPr="00094985">
        <w:rPr>
          <w:rFonts w:ascii="Times New Roman" w:eastAsia="楷体" w:hAnsi="Times New Roman" w:cs="Times New Roman" w:hint="eastAsia"/>
          <w:sz w:val="32"/>
          <w:szCs w:val="32"/>
        </w:rPr>
        <w:t>针对新能源汽车、电动航空器等对高比能电池关键材料应用需求，揭示多孔炭在高比容量硅负极、锂金属负极材料应用中的失效机制，开发多孔炭纳米结构调控技术，实现高强高电导多孔炭材料开发，并开展相关高比容量负极材料在固态电池示范应用。</w:t>
      </w:r>
    </w:p>
    <w:p w14:paraId="0EE262D0" w14:textId="759F814B" w:rsidR="00E37474" w:rsidRPr="009A3307" w:rsidRDefault="00E37474" w:rsidP="00E3747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094985" w:rsidRPr="00094985">
        <w:rPr>
          <w:rFonts w:ascii="Times New Roman" w:eastAsia="楷体" w:hAnsi="Times New Roman" w:cs="Times New Roman" w:hint="eastAsia"/>
          <w:sz w:val="32"/>
          <w:szCs w:val="32"/>
        </w:rPr>
        <w:t>（</w:t>
      </w:r>
      <w:r w:rsidR="00094985" w:rsidRPr="00094985">
        <w:rPr>
          <w:rFonts w:ascii="Times New Roman" w:eastAsia="楷体" w:hAnsi="Times New Roman" w:cs="Times New Roman" w:hint="eastAsia"/>
          <w:sz w:val="32"/>
          <w:szCs w:val="32"/>
        </w:rPr>
        <w:t>1</w:t>
      </w:r>
      <w:r w:rsidR="00094985" w:rsidRPr="00094985">
        <w:rPr>
          <w:rFonts w:ascii="Times New Roman" w:eastAsia="楷体" w:hAnsi="Times New Roman" w:cs="Times New Roman" w:hint="eastAsia"/>
          <w:sz w:val="32"/>
          <w:szCs w:val="32"/>
        </w:rPr>
        <w:t>）多孔炭材料结构与性能构效关系。</w:t>
      </w:r>
      <w:r w:rsidR="0056680F" w:rsidRPr="0056680F">
        <w:rPr>
          <w:rFonts w:ascii="Times New Roman" w:eastAsia="楷体" w:hAnsi="Times New Roman" w:cs="Times New Roman" w:hint="eastAsia"/>
          <w:sz w:val="32"/>
          <w:szCs w:val="32"/>
        </w:rPr>
        <w:t>在高容量负极材料应用过程中，因储锂过程带来的体积应力变化对材料结构、电子导电网络、离子导电网络稳定性影响直接决定材料、电池的性能。</w:t>
      </w:r>
    </w:p>
    <w:p w14:paraId="2B48EC4B" w14:textId="3438AD37" w:rsidR="0056680F" w:rsidRPr="0056680F" w:rsidRDefault="00E37474" w:rsidP="0056680F">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w:t>
      </w:r>
      <w:r w:rsidR="0056680F" w:rsidRPr="0056680F">
        <w:rPr>
          <w:rFonts w:ascii="Times New Roman" w:eastAsia="楷体" w:hAnsi="Times New Roman" w:cs="Times New Roman" w:hint="eastAsia"/>
          <w:sz w:val="32"/>
          <w:szCs w:val="32"/>
        </w:rPr>
        <w:t>技术研究报告</w:t>
      </w:r>
      <w:r w:rsidR="0056680F" w:rsidRPr="0056680F">
        <w:rPr>
          <w:rFonts w:ascii="Times New Roman" w:eastAsia="楷体" w:hAnsi="Times New Roman" w:cs="Times New Roman" w:hint="eastAsia"/>
          <w:sz w:val="32"/>
          <w:szCs w:val="32"/>
        </w:rPr>
        <w:t>2</w:t>
      </w:r>
      <w:r w:rsidR="0056680F" w:rsidRPr="0056680F">
        <w:rPr>
          <w:rFonts w:ascii="Times New Roman" w:eastAsia="楷体" w:hAnsi="Times New Roman" w:cs="Times New Roman" w:hint="eastAsia"/>
          <w:sz w:val="32"/>
          <w:szCs w:val="32"/>
        </w:rPr>
        <w:t>份。围绕多孔炭在高容量负极应用失效机制和多孔结构纳米调控技术研究提交技术研究报告</w:t>
      </w:r>
      <w:r w:rsidR="0056680F" w:rsidRPr="0056680F">
        <w:rPr>
          <w:rFonts w:ascii="Times New Roman" w:eastAsia="楷体" w:hAnsi="Times New Roman" w:cs="Times New Roman" w:hint="eastAsia"/>
          <w:sz w:val="32"/>
          <w:szCs w:val="32"/>
        </w:rPr>
        <w:t>2</w:t>
      </w:r>
      <w:r w:rsidR="0056680F" w:rsidRPr="0056680F">
        <w:rPr>
          <w:rFonts w:ascii="Times New Roman" w:eastAsia="楷体" w:hAnsi="Times New Roman" w:cs="Times New Roman" w:hint="eastAsia"/>
          <w:sz w:val="32"/>
          <w:szCs w:val="32"/>
        </w:rPr>
        <w:t>份；（</w:t>
      </w:r>
      <w:r w:rsidR="0056680F" w:rsidRPr="0056680F">
        <w:rPr>
          <w:rFonts w:ascii="Times New Roman" w:eastAsia="楷体" w:hAnsi="Times New Roman" w:cs="Times New Roman" w:hint="eastAsia"/>
          <w:sz w:val="32"/>
          <w:szCs w:val="32"/>
        </w:rPr>
        <w:t>2</w:t>
      </w:r>
      <w:r w:rsidR="0056680F" w:rsidRPr="0056680F">
        <w:rPr>
          <w:rFonts w:ascii="Times New Roman" w:eastAsia="楷体" w:hAnsi="Times New Roman" w:cs="Times New Roman" w:hint="eastAsia"/>
          <w:sz w:val="32"/>
          <w:szCs w:val="32"/>
        </w:rPr>
        <w:t>）多孔炭材料原型技术指标</w:t>
      </w:r>
      <w:r w:rsidR="0056680F">
        <w:rPr>
          <w:rFonts w:ascii="Times New Roman" w:eastAsia="楷体" w:hAnsi="Times New Roman" w:cs="Times New Roman" w:hint="eastAsia"/>
          <w:sz w:val="32"/>
          <w:szCs w:val="32"/>
        </w:rPr>
        <w:t>：</w:t>
      </w:r>
    </w:p>
    <w:tbl>
      <w:tblPr>
        <w:tblStyle w:val="1"/>
        <w:tblW w:w="0" w:type="auto"/>
        <w:jc w:val="center"/>
        <w:tblLook w:val="04A0" w:firstRow="1" w:lastRow="0" w:firstColumn="1" w:lastColumn="0" w:noHBand="0" w:noVBand="1"/>
      </w:tblPr>
      <w:tblGrid>
        <w:gridCol w:w="846"/>
        <w:gridCol w:w="1559"/>
        <w:gridCol w:w="3119"/>
        <w:gridCol w:w="2772"/>
      </w:tblGrid>
      <w:tr w:rsidR="0056680F" w:rsidRPr="0056680F" w14:paraId="2A4D7831" w14:textId="77777777" w:rsidTr="0056680F">
        <w:trPr>
          <w:jc w:val="center"/>
        </w:trPr>
        <w:tc>
          <w:tcPr>
            <w:tcW w:w="846" w:type="dxa"/>
          </w:tcPr>
          <w:p w14:paraId="279DB830"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序号</w:t>
            </w:r>
          </w:p>
        </w:tc>
        <w:tc>
          <w:tcPr>
            <w:tcW w:w="1559" w:type="dxa"/>
          </w:tcPr>
          <w:p w14:paraId="68AFD317" w14:textId="50001008" w:rsidR="0056680F" w:rsidRPr="0056680F" w:rsidRDefault="0056680F" w:rsidP="0056680F">
            <w:pPr>
              <w:rPr>
                <w:rFonts w:ascii="楷体" w:eastAsia="楷体" w:hAnsi="楷体" w:cs="Times New Roman" w:hint="eastAsia"/>
              </w:rPr>
            </w:pPr>
            <w:r>
              <w:rPr>
                <w:rFonts w:ascii="楷体" w:eastAsia="楷体" w:hAnsi="楷体" w:cs="Times New Roman" w:hint="eastAsia"/>
              </w:rPr>
              <w:t>类别</w:t>
            </w:r>
          </w:p>
        </w:tc>
        <w:tc>
          <w:tcPr>
            <w:tcW w:w="3119" w:type="dxa"/>
          </w:tcPr>
          <w:p w14:paraId="3C420866"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指标</w:t>
            </w:r>
          </w:p>
        </w:tc>
        <w:tc>
          <w:tcPr>
            <w:tcW w:w="2772" w:type="dxa"/>
          </w:tcPr>
          <w:p w14:paraId="4C49123C"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备注</w:t>
            </w:r>
          </w:p>
        </w:tc>
      </w:tr>
      <w:tr w:rsidR="0056680F" w:rsidRPr="0056680F" w14:paraId="6E9A7D5E" w14:textId="77777777" w:rsidTr="0056680F">
        <w:trPr>
          <w:jc w:val="center"/>
        </w:trPr>
        <w:tc>
          <w:tcPr>
            <w:tcW w:w="846" w:type="dxa"/>
          </w:tcPr>
          <w:p w14:paraId="7908B4F5"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1</w:t>
            </w:r>
          </w:p>
        </w:tc>
        <w:tc>
          <w:tcPr>
            <w:tcW w:w="1559" w:type="dxa"/>
          </w:tcPr>
          <w:p w14:paraId="5E130DF1"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孔径分布</w:t>
            </w:r>
          </w:p>
        </w:tc>
        <w:tc>
          <w:tcPr>
            <w:tcW w:w="3119" w:type="dxa"/>
          </w:tcPr>
          <w:p w14:paraId="1C0AC8F8"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微孔（&lt;2 nm）占比：70%-85%。；</w:t>
            </w:r>
          </w:p>
          <w:p w14:paraId="64CC9394"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介孔（2-50 nm）占比：10%-20%；</w:t>
            </w:r>
          </w:p>
          <w:p w14:paraId="17468B88"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大孔（&gt;50 nm）占比：5%-10%</w:t>
            </w:r>
          </w:p>
        </w:tc>
        <w:tc>
          <w:tcPr>
            <w:tcW w:w="2772" w:type="dxa"/>
          </w:tcPr>
          <w:p w14:paraId="08639010"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rPr>
              <w:t>BJH（Barrett-Joyner-Halenda）法或NLDFT（Non-Local Density Functional Theory）模型分析孔径分布</w:t>
            </w:r>
          </w:p>
        </w:tc>
      </w:tr>
      <w:tr w:rsidR="0056680F" w:rsidRPr="0056680F" w14:paraId="539471D8" w14:textId="77777777" w:rsidTr="0056680F">
        <w:trPr>
          <w:jc w:val="center"/>
        </w:trPr>
        <w:tc>
          <w:tcPr>
            <w:tcW w:w="846" w:type="dxa"/>
          </w:tcPr>
          <w:p w14:paraId="37C86AE5"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2</w:t>
            </w:r>
          </w:p>
        </w:tc>
        <w:tc>
          <w:tcPr>
            <w:tcW w:w="1559" w:type="dxa"/>
          </w:tcPr>
          <w:p w14:paraId="1EB9B4D3"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孔隙率</w:t>
            </w:r>
          </w:p>
        </w:tc>
        <w:tc>
          <w:tcPr>
            <w:tcW w:w="3119" w:type="dxa"/>
          </w:tcPr>
          <w:p w14:paraId="555AD021"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≥70%</w:t>
            </w:r>
          </w:p>
        </w:tc>
        <w:tc>
          <w:tcPr>
            <w:tcW w:w="2772" w:type="dxa"/>
          </w:tcPr>
          <w:p w14:paraId="17EF54C9"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压汞或气体吸附法</w:t>
            </w:r>
          </w:p>
        </w:tc>
      </w:tr>
      <w:tr w:rsidR="0056680F" w:rsidRPr="0056680F" w14:paraId="720C7DA4" w14:textId="77777777" w:rsidTr="0056680F">
        <w:trPr>
          <w:jc w:val="center"/>
        </w:trPr>
        <w:tc>
          <w:tcPr>
            <w:tcW w:w="846" w:type="dxa"/>
          </w:tcPr>
          <w:p w14:paraId="00E0489C"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3</w:t>
            </w:r>
          </w:p>
        </w:tc>
        <w:tc>
          <w:tcPr>
            <w:tcW w:w="1559" w:type="dxa"/>
          </w:tcPr>
          <w:p w14:paraId="374E33AE"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导电性</w:t>
            </w:r>
          </w:p>
        </w:tc>
        <w:tc>
          <w:tcPr>
            <w:tcW w:w="3119" w:type="dxa"/>
          </w:tcPr>
          <w:p w14:paraId="4E217E17"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≥10S/cm</w:t>
            </w:r>
          </w:p>
        </w:tc>
        <w:tc>
          <w:tcPr>
            <w:tcW w:w="2772" w:type="dxa"/>
          </w:tcPr>
          <w:p w14:paraId="75EF2287"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四探针块体材料测试</w:t>
            </w:r>
          </w:p>
        </w:tc>
      </w:tr>
      <w:tr w:rsidR="0056680F" w:rsidRPr="0056680F" w14:paraId="0DE66102" w14:textId="77777777" w:rsidTr="0056680F">
        <w:trPr>
          <w:jc w:val="center"/>
        </w:trPr>
        <w:tc>
          <w:tcPr>
            <w:tcW w:w="846" w:type="dxa"/>
          </w:tcPr>
          <w:p w14:paraId="643CEC4B"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4</w:t>
            </w:r>
          </w:p>
        </w:tc>
        <w:tc>
          <w:tcPr>
            <w:tcW w:w="1559" w:type="dxa"/>
          </w:tcPr>
          <w:p w14:paraId="1041F2DC"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抗压强度</w:t>
            </w:r>
          </w:p>
        </w:tc>
        <w:tc>
          <w:tcPr>
            <w:tcW w:w="3119" w:type="dxa"/>
          </w:tcPr>
          <w:p w14:paraId="4D0E8DD4"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≥100Mpa</w:t>
            </w:r>
          </w:p>
        </w:tc>
        <w:tc>
          <w:tcPr>
            <w:tcW w:w="2772" w:type="dxa"/>
          </w:tcPr>
          <w:p w14:paraId="4263E8CA"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万能测试机</w:t>
            </w:r>
          </w:p>
        </w:tc>
      </w:tr>
      <w:tr w:rsidR="0056680F" w:rsidRPr="0056680F" w14:paraId="180DAF8B" w14:textId="77777777" w:rsidTr="0056680F">
        <w:trPr>
          <w:jc w:val="center"/>
        </w:trPr>
        <w:tc>
          <w:tcPr>
            <w:tcW w:w="846" w:type="dxa"/>
          </w:tcPr>
          <w:p w14:paraId="5A24321D"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5</w:t>
            </w:r>
          </w:p>
        </w:tc>
        <w:tc>
          <w:tcPr>
            <w:tcW w:w="1559" w:type="dxa"/>
          </w:tcPr>
          <w:p w14:paraId="39A358B4"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比表面</w:t>
            </w:r>
          </w:p>
        </w:tc>
        <w:tc>
          <w:tcPr>
            <w:tcW w:w="3119" w:type="dxa"/>
          </w:tcPr>
          <w:p w14:paraId="4A8EC6E2"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≥1500m</w:t>
            </w:r>
            <w:r w:rsidRPr="0056680F">
              <w:rPr>
                <w:rFonts w:ascii="楷体" w:eastAsia="楷体" w:hAnsi="楷体" w:cs="Times New Roman" w:hint="eastAsia"/>
                <w:vertAlign w:val="superscript"/>
              </w:rPr>
              <w:t>2</w:t>
            </w:r>
            <w:r w:rsidRPr="0056680F">
              <w:rPr>
                <w:rFonts w:ascii="楷体" w:eastAsia="楷体" w:hAnsi="楷体" w:cs="Times New Roman" w:hint="eastAsia"/>
              </w:rPr>
              <w:t>/g</w:t>
            </w:r>
          </w:p>
        </w:tc>
        <w:tc>
          <w:tcPr>
            <w:tcW w:w="2772" w:type="dxa"/>
          </w:tcPr>
          <w:p w14:paraId="6270AF9B"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氮气吸附法</w:t>
            </w:r>
          </w:p>
        </w:tc>
      </w:tr>
      <w:tr w:rsidR="0056680F" w:rsidRPr="0056680F" w14:paraId="1750E0C9" w14:textId="77777777" w:rsidTr="0056680F">
        <w:trPr>
          <w:jc w:val="center"/>
        </w:trPr>
        <w:tc>
          <w:tcPr>
            <w:tcW w:w="846" w:type="dxa"/>
          </w:tcPr>
          <w:p w14:paraId="60141FFE"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lastRenderedPageBreak/>
              <w:t>6</w:t>
            </w:r>
          </w:p>
        </w:tc>
        <w:tc>
          <w:tcPr>
            <w:tcW w:w="1559" w:type="dxa"/>
          </w:tcPr>
          <w:p w14:paraId="7F1C2B76"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粒径</w:t>
            </w:r>
          </w:p>
        </w:tc>
        <w:tc>
          <w:tcPr>
            <w:tcW w:w="3119" w:type="dxa"/>
          </w:tcPr>
          <w:p w14:paraId="76BC460D"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D</w:t>
            </w:r>
            <w:r w:rsidRPr="0056680F">
              <w:rPr>
                <w:rFonts w:ascii="楷体" w:eastAsia="楷体" w:hAnsi="楷体" w:cs="Times New Roman" w:hint="eastAsia"/>
                <w:vertAlign w:val="subscript"/>
              </w:rPr>
              <w:t>50</w:t>
            </w:r>
            <w:r w:rsidRPr="0056680F">
              <w:rPr>
                <w:rFonts w:ascii="楷体" w:eastAsia="楷体" w:hAnsi="楷体" w:cs="Times New Roman" w:hint="eastAsia"/>
              </w:rPr>
              <w:t>≤1μm，D</w:t>
            </w:r>
            <w:r w:rsidRPr="0056680F">
              <w:rPr>
                <w:rFonts w:ascii="楷体" w:eastAsia="楷体" w:hAnsi="楷体" w:cs="Times New Roman" w:hint="eastAsia"/>
                <w:vertAlign w:val="subscript"/>
              </w:rPr>
              <w:t>max</w:t>
            </w:r>
            <w:r w:rsidRPr="0056680F">
              <w:rPr>
                <w:rFonts w:ascii="楷体" w:eastAsia="楷体" w:hAnsi="楷体" w:cs="Times New Roman" w:hint="eastAsia"/>
              </w:rPr>
              <w:t>≤2μm</w:t>
            </w:r>
          </w:p>
        </w:tc>
        <w:tc>
          <w:tcPr>
            <w:tcW w:w="2772" w:type="dxa"/>
          </w:tcPr>
          <w:p w14:paraId="2FD8480D"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激光粒度仪</w:t>
            </w:r>
          </w:p>
        </w:tc>
      </w:tr>
      <w:tr w:rsidR="0056680F" w:rsidRPr="0056680F" w14:paraId="07531F18" w14:textId="77777777" w:rsidTr="0056680F">
        <w:trPr>
          <w:jc w:val="center"/>
        </w:trPr>
        <w:tc>
          <w:tcPr>
            <w:tcW w:w="846" w:type="dxa"/>
          </w:tcPr>
          <w:p w14:paraId="14CC2C21"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7</w:t>
            </w:r>
          </w:p>
        </w:tc>
        <w:tc>
          <w:tcPr>
            <w:tcW w:w="1559" w:type="dxa"/>
          </w:tcPr>
          <w:p w14:paraId="77C5AECC"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化学稳定性</w:t>
            </w:r>
          </w:p>
        </w:tc>
        <w:tc>
          <w:tcPr>
            <w:tcW w:w="3119" w:type="dxa"/>
          </w:tcPr>
          <w:p w14:paraId="75CFCCE1"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失重率＜1%</w:t>
            </w:r>
          </w:p>
        </w:tc>
        <w:tc>
          <w:tcPr>
            <w:tcW w:w="2772" w:type="dxa"/>
          </w:tcPr>
          <w:p w14:paraId="3FF3CED9"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电解液浸泡7天失重法</w:t>
            </w:r>
          </w:p>
        </w:tc>
      </w:tr>
      <w:tr w:rsidR="0056680F" w:rsidRPr="0056680F" w14:paraId="45EEC32F" w14:textId="77777777" w:rsidTr="0056680F">
        <w:trPr>
          <w:jc w:val="center"/>
        </w:trPr>
        <w:tc>
          <w:tcPr>
            <w:tcW w:w="846" w:type="dxa"/>
          </w:tcPr>
          <w:p w14:paraId="1ADCA168"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8</w:t>
            </w:r>
          </w:p>
        </w:tc>
        <w:tc>
          <w:tcPr>
            <w:tcW w:w="1559" w:type="dxa"/>
          </w:tcPr>
          <w:p w14:paraId="1D28C36A"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热稳定性</w:t>
            </w:r>
          </w:p>
        </w:tc>
        <w:tc>
          <w:tcPr>
            <w:tcW w:w="3119" w:type="dxa"/>
          </w:tcPr>
          <w:p w14:paraId="3FDD6890"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≥450℃失重≤1%</w:t>
            </w:r>
          </w:p>
        </w:tc>
        <w:tc>
          <w:tcPr>
            <w:tcW w:w="2772" w:type="dxa"/>
          </w:tcPr>
          <w:p w14:paraId="2C0138DA"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TGA</w:t>
            </w:r>
          </w:p>
        </w:tc>
      </w:tr>
      <w:tr w:rsidR="0056680F" w:rsidRPr="0056680F" w14:paraId="791F07C3" w14:textId="77777777" w:rsidTr="0056680F">
        <w:trPr>
          <w:jc w:val="center"/>
        </w:trPr>
        <w:tc>
          <w:tcPr>
            <w:tcW w:w="846" w:type="dxa"/>
          </w:tcPr>
          <w:p w14:paraId="73C2C08E"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9</w:t>
            </w:r>
          </w:p>
        </w:tc>
        <w:tc>
          <w:tcPr>
            <w:tcW w:w="1559" w:type="dxa"/>
          </w:tcPr>
          <w:p w14:paraId="116209AA"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振实密度</w:t>
            </w:r>
          </w:p>
        </w:tc>
        <w:tc>
          <w:tcPr>
            <w:tcW w:w="3119" w:type="dxa"/>
          </w:tcPr>
          <w:p w14:paraId="79197ED1" w14:textId="77777777" w:rsidR="0056680F" w:rsidRPr="0056680F" w:rsidRDefault="0056680F" w:rsidP="0056680F">
            <w:pPr>
              <w:rPr>
                <w:rFonts w:ascii="楷体" w:eastAsia="楷体" w:hAnsi="楷体" w:cs="Times New Roman" w:hint="eastAsia"/>
                <w:vertAlign w:val="superscript"/>
              </w:rPr>
            </w:pPr>
            <w:r w:rsidRPr="0056680F">
              <w:rPr>
                <w:rFonts w:ascii="楷体" w:eastAsia="楷体" w:hAnsi="楷体" w:cs="Times New Roman" w:hint="eastAsia"/>
              </w:rPr>
              <w:t>≥0.3g/cm</w:t>
            </w:r>
            <w:r w:rsidRPr="0056680F">
              <w:rPr>
                <w:rFonts w:ascii="楷体" w:eastAsia="楷体" w:hAnsi="楷体" w:cs="Times New Roman" w:hint="eastAsia"/>
                <w:vertAlign w:val="superscript"/>
              </w:rPr>
              <w:t>3</w:t>
            </w:r>
          </w:p>
        </w:tc>
        <w:tc>
          <w:tcPr>
            <w:tcW w:w="2772" w:type="dxa"/>
          </w:tcPr>
          <w:p w14:paraId="622323BD" w14:textId="77777777" w:rsidR="0056680F" w:rsidRPr="0056680F" w:rsidRDefault="0056680F" w:rsidP="0056680F">
            <w:pPr>
              <w:rPr>
                <w:rFonts w:ascii="楷体" w:eastAsia="楷体" w:hAnsi="楷体" w:cs="Times New Roman" w:hint="eastAsia"/>
              </w:rPr>
            </w:pPr>
            <w:r w:rsidRPr="0056680F">
              <w:rPr>
                <w:rFonts w:ascii="楷体" w:eastAsia="楷体" w:hAnsi="楷体" w:cs="Times New Roman" w:hint="eastAsia"/>
              </w:rPr>
              <w:t>振实密度仪</w:t>
            </w:r>
          </w:p>
        </w:tc>
      </w:tr>
    </w:tbl>
    <w:p w14:paraId="3679B894" w14:textId="77777777" w:rsidR="0056680F" w:rsidRPr="0056680F" w:rsidRDefault="0056680F" w:rsidP="0056680F">
      <w:pPr>
        <w:snapToGrid w:val="0"/>
        <w:spacing w:line="336" w:lineRule="auto"/>
        <w:ind w:firstLineChars="200" w:firstLine="640"/>
        <w:rPr>
          <w:rFonts w:ascii="Times New Roman" w:eastAsia="楷体" w:hAnsi="Times New Roman" w:cs="Times New Roman"/>
          <w:sz w:val="32"/>
          <w:szCs w:val="32"/>
        </w:rPr>
      </w:pPr>
    </w:p>
    <w:p w14:paraId="50C43522" w14:textId="54F97D1F" w:rsidR="0056680F" w:rsidRPr="009A3307" w:rsidRDefault="0056680F" w:rsidP="0056680F">
      <w:pPr>
        <w:snapToGrid w:val="0"/>
        <w:spacing w:line="336" w:lineRule="auto"/>
        <w:ind w:firstLineChars="200" w:firstLine="640"/>
        <w:rPr>
          <w:rFonts w:ascii="Times New Roman" w:eastAsia="楷体" w:hAnsi="Times New Roman" w:cs="Times New Roman" w:hint="eastAsia"/>
          <w:sz w:val="32"/>
          <w:szCs w:val="32"/>
        </w:rPr>
      </w:pPr>
      <w:r w:rsidRPr="0056680F">
        <w:rPr>
          <w:rFonts w:ascii="Times New Roman" w:eastAsia="楷体" w:hAnsi="Times New Roman" w:cs="Times New Roman" w:hint="eastAsia"/>
          <w:sz w:val="32"/>
          <w:szCs w:val="32"/>
        </w:rPr>
        <w:t>（</w:t>
      </w:r>
      <w:r w:rsidRPr="0056680F">
        <w:rPr>
          <w:rFonts w:ascii="Times New Roman" w:eastAsia="楷体" w:hAnsi="Times New Roman" w:cs="Times New Roman" w:hint="eastAsia"/>
          <w:sz w:val="32"/>
          <w:szCs w:val="32"/>
        </w:rPr>
        <w:t>3</w:t>
      </w:r>
      <w:r w:rsidRPr="0056680F">
        <w:rPr>
          <w:rFonts w:ascii="Times New Roman" w:eastAsia="楷体" w:hAnsi="Times New Roman" w:cs="Times New Roman" w:hint="eastAsia"/>
          <w:sz w:val="32"/>
          <w:szCs w:val="32"/>
        </w:rPr>
        <w:t>）发明专利</w:t>
      </w:r>
      <w:r w:rsidRPr="0056680F">
        <w:rPr>
          <w:rFonts w:ascii="Times New Roman" w:eastAsia="楷体" w:hAnsi="Times New Roman" w:cs="Times New Roman" w:hint="eastAsia"/>
          <w:sz w:val="32"/>
          <w:szCs w:val="32"/>
        </w:rPr>
        <w:t>2</w:t>
      </w:r>
      <w:r w:rsidRPr="0056680F">
        <w:rPr>
          <w:rFonts w:ascii="Times New Roman" w:eastAsia="楷体" w:hAnsi="Times New Roman" w:cs="Times New Roman"/>
          <w:sz w:val="32"/>
          <w:szCs w:val="32"/>
        </w:rPr>
        <w:t>-</w:t>
      </w:r>
      <w:r w:rsidRPr="0056680F">
        <w:rPr>
          <w:rFonts w:ascii="Times New Roman" w:eastAsia="楷体" w:hAnsi="Times New Roman" w:cs="Times New Roman" w:hint="eastAsia"/>
          <w:sz w:val="32"/>
          <w:szCs w:val="32"/>
        </w:rPr>
        <w:t>4</w:t>
      </w:r>
      <w:r w:rsidRPr="0056680F">
        <w:rPr>
          <w:rFonts w:ascii="Times New Roman" w:eastAsia="楷体" w:hAnsi="Times New Roman" w:cs="Times New Roman" w:hint="eastAsia"/>
          <w:sz w:val="32"/>
          <w:szCs w:val="32"/>
        </w:rPr>
        <w:t>项；（</w:t>
      </w:r>
      <w:r w:rsidRPr="0056680F">
        <w:rPr>
          <w:rFonts w:ascii="Times New Roman" w:eastAsia="楷体" w:hAnsi="Times New Roman" w:cs="Times New Roman" w:hint="eastAsia"/>
          <w:sz w:val="32"/>
          <w:szCs w:val="32"/>
        </w:rPr>
        <w:t>4</w:t>
      </w:r>
      <w:r w:rsidRPr="0056680F">
        <w:rPr>
          <w:rFonts w:ascii="Times New Roman" w:eastAsia="楷体" w:hAnsi="Times New Roman" w:cs="Times New Roman" w:hint="eastAsia"/>
          <w:sz w:val="32"/>
          <w:szCs w:val="32"/>
        </w:rPr>
        <w:t>）应用指标：固态电池中硅碳负极克容量≥</w:t>
      </w:r>
      <w:r w:rsidRPr="0056680F">
        <w:rPr>
          <w:rFonts w:ascii="Times New Roman" w:eastAsia="楷体" w:hAnsi="Times New Roman" w:cs="Times New Roman" w:hint="eastAsia"/>
          <w:sz w:val="32"/>
          <w:szCs w:val="32"/>
        </w:rPr>
        <w:t>1</w:t>
      </w:r>
      <w:r w:rsidRPr="0056680F">
        <w:rPr>
          <w:rFonts w:ascii="Times New Roman" w:eastAsia="楷体" w:hAnsi="Times New Roman" w:cs="Times New Roman"/>
          <w:sz w:val="32"/>
          <w:szCs w:val="32"/>
        </w:rPr>
        <w:t>5</w:t>
      </w:r>
      <w:r w:rsidRPr="0056680F">
        <w:rPr>
          <w:rFonts w:ascii="Times New Roman" w:eastAsia="楷体" w:hAnsi="Times New Roman" w:cs="Times New Roman" w:hint="eastAsia"/>
          <w:sz w:val="32"/>
          <w:szCs w:val="32"/>
        </w:rPr>
        <w:t>00mAh/g</w:t>
      </w:r>
      <w:r w:rsidRPr="0056680F">
        <w:rPr>
          <w:rFonts w:ascii="Times New Roman" w:eastAsia="楷体" w:hAnsi="Times New Roman" w:cs="Times New Roman" w:hint="eastAsia"/>
          <w:sz w:val="32"/>
          <w:szCs w:val="32"/>
        </w:rPr>
        <w:t>、膨胀≤</w:t>
      </w:r>
      <w:r w:rsidRPr="0056680F">
        <w:rPr>
          <w:rFonts w:ascii="Times New Roman" w:eastAsia="楷体" w:hAnsi="Times New Roman" w:cs="Times New Roman" w:hint="eastAsia"/>
          <w:sz w:val="32"/>
          <w:szCs w:val="32"/>
        </w:rPr>
        <w:t>20%</w:t>
      </w:r>
      <w:r w:rsidRPr="0056680F">
        <w:rPr>
          <w:rFonts w:ascii="Times New Roman" w:eastAsia="楷体" w:hAnsi="Times New Roman" w:cs="Times New Roman" w:hint="eastAsia"/>
          <w:sz w:val="32"/>
          <w:szCs w:val="32"/>
        </w:rPr>
        <w:t>，或固态电池中锂金属负极电极面容量≥</w:t>
      </w:r>
      <w:r w:rsidRPr="0056680F">
        <w:rPr>
          <w:rFonts w:ascii="Times New Roman" w:eastAsia="楷体" w:hAnsi="Times New Roman" w:cs="Times New Roman" w:hint="eastAsia"/>
          <w:sz w:val="32"/>
          <w:szCs w:val="32"/>
        </w:rPr>
        <w:t>5mAh/cm</w:t>
      </w:r>
      <w:r w:rsidRPr="0056680F">
        <w:rPr>
          <w:rFonts w:ascii="Times New Roman" w:eastAsia="楷体" w:hAnsi="Times New Roman" w:cs="Times New Roman" w:hint="eastAsia"/>
          <w:sz w:val="32"/>
          <w:szCs w:val="32"/>
          <w:vertAlign w:val="superscript"/>
        </w:rPr>
        <w:t>2</w:t>
      </w:r>
      <w:r w:rsidRPr="0056680F">
        <w:rPr>
          <w:rFonts w:ascii="Times New Roman" w:eastAsia="楷体" w:hAnsi="Times New Roman" w:cs="Times New Roman" w:hint="eastAsia"/>
          <w:sz w:val="32"/>
          <w:szCs w:val="32"/>
        </w:rPr>
        <w:t>、面电流≥</w:t>
      </w:r>
      <w:r w:rsidRPr="0056680F">
        <w:rPr>
          <w:rFonts w:ascii="Times New Roman" w:eastAsia="楷体" w:hAnsi="Times New Roman" w:cs="Times New Roman" w:hint="eastAsia"/>
          <w:sz w:val="32"/>
          <w:szCs w:val="32"/>
        </w:rPr>
        <w:t>2mA/cm</w:t>
      </w:r>
      <w:r w:rsidRPr="0056680F">
        <w:rPr>
          <w:rFonts w:ascii="Times New Roman" w:eastAsia="楷体" w:hAnsi="Times New Roman" w:cs="Times New Roman" w:hint="eastAsia"/>
          <w:sz w:val="32"/>
          <w:szCs w:val="32"/>
          <w:vertAlign w:val="superscript"/>
        </w:rPr>
        <w:t>2</w:t>
      </w:r>
      <w:r w:rsidRPr="0056680F">
        <w:rPr>
          <w:rFonts w:ascii="Times New Roman" w:eastAsia="楷体" w:hAnsi="Times New Roman" w:cs="Times New Roman" w:hint="eastAsia"/>
          <w:sz w:val="32"/>
          <w:szCs w:val="32"/>
        </w:rPr>
        <w:t>循环≥</w:t>
      </w:r>
      <w:r w:rsidRPr="0056680F">
        <w:rPr>
          <w:rFonts w:ascii="Times New Roman" w:eastAsia="楷体" w:hAnsi="Times New Roman" w:cs="Times New Roman" w:hint="eastAsia"/>
          <w:sz w:val="32"/>
          <w:szCs w:val="32"/>
        </w:rPr>
        <w:t>1000</w:t>
      </w:r>
      <w:r w:rsidRPr="0056680F">
        <w:rPr>
          <w:rFonts w:ascii="Times New Roman" w:eastAsia="楷体" w:hAnsi="Times New Roman" w:cs="Times New Roman" w:hint="eastAsia"/>
          <w:sz w:val="32"/>
          <w:szCs w:val="32"/>
        </w:rPr>
        <w:t>小时。</w:t>
      </w:r>
    </w:p>
    <w:p w14:paraId="6EFA51BD" w14:textId="5824C75F" w:rsidR="00E37474" w:rsidRPr="009A3307" w:rsidRDefault="00E37474" w:rsidP="003A48D8">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国家动力电池创新中心平台</w:t>
      </w:r>
    </w:p>
    <w:p w14:paraId="141EBC58" w14:textId="43F13A58" w:rsidR="00E37474" w:rsidRPr="009A3307" w:rsidRDefault="00E37474" w:rsidP="00E3747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王建涛</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13811210897</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wangjt@glabat.com</w:t>
      </w:r>
    </w:p>
    <w:p w14:paraId="11C2333D" w14:textId="0410BEFF" w:rsidR="00B60A21" w:rsidRPr="009A3307" w:rsidRDefault="00B60A21" w:rsidP="00AC1CD6">
      <w:pPr>
        <w:snapToGrid w:val="0"/>
        <w:spacing w:line="336" w:lineRule="auto"/>
        <w:ind w:firstLineChars="200" w:firstLine="640"/>
        <w:jc w:val="left"/>
        <w:rPr>
          <w:rFonts w:ascii="Times New Roman" w:eastAsia="楷体" w:hAnsi="Times New Roman" w:cs="Times New Roman"/>
          <w:sz w:val="32"/>
          <w:szCs w:val="32"/>
        </w:rPr>
      </w:pPr>
    </w:p>
    <w:p w14:paraId="597288D2" w14:textId="57242EA1" w:rsidR="00343E37" w:rsidRPr="009A3307" w:rsidRDefault="00343E37" w:rsidP="00343E37">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bookmarkStart w:id="1" w:name="_Hlk120873311"/>
      <w:r w:rsidRPr="009A3307">
        <w:rPr>
          <w:rFonts w:ascii="Times New Roman" w:eastAsia="黑体" w:hAnsi="Times New Roman" w:cs="Times New Roman"/>
          <w:b/>
          <w:bCs/>
          <w:color w:val="0070C0"/>
          <w:sz w:val="32"/>
          <w:szCs w:val="32"/>
        </w:rPr>
        <w:t xml:space="preserve">6 </w:t>
      </w:r>
      <w:bookmarkEnd w:id="1"/>
      <w:r w:rsidR="002E34F3" w:rsidRPr="002E34F3">
        <w:rPr>
          <w:rFonts w:ascii="Times New Roman" w:eastAsia="黑体" w:hAnsi="Times New Roman" w:cs="Times New Roman" w:hint="eastAsia"/>
          <w:b/>
          <w:bCs/>
          <w:color w:val="0070C0"/>
          <w:sz w:val="32"/>
          <w:szCs w:val="32"/>
        </w:rPr>
        <w:t>镁基复合材料的腐蚀防护机理研究</w:t>
      </w:r>
    </w:p>
    <w:p w14:paraId="19F7BF00" w14:textId="070B33BC" w:rsidR="00343E37" w:rsidRPr="009A3307" w:rsidRDefault="00343E37" w:rsidP="00343E3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2E34F3" w:rsidRPr="002E34F3">
        <w:rPr>
          <w:rFonts w:ascii="Times New Roman" w:eastAsia="楷体" w:hAnsi="Times New Roman" w:cs="Times New Roman" w:hint="eastAsia"/>
          <w:sz w:val="32"/>
          <w:szCs w:val="32"/>
        </w:rPr>
        <w:t>针对智能传感功能材料全国重点实验室平台开发的镁基复合材料耐腐蚀应用需求，开展镁基复合材料的腐蚀防护机理研究，阐明材料中基体合金元素和增强相对腐蚀行为的影响机理，揭示镁基复合材料在服役环境中的腐蚀机制，构建腐蚀速率与微观结构间的关联模型，开发表面防护技术，实现表面耐蚀—耐磨一体化防护涂层的可控制备，有效满足工程应用需求。</w:t>
      </w:r>
    </w:p>
    <w:p w14:paraId="50672D41" w14:textId="60CFD823" w:rsidR="00343E37" w:rsidRPr="009A3307" w:rsidRDefault="00343E37" w:rsidP="002E34F3">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）揭示基体合金元素及增强相对镁基复合材料耐腐蚀性能的影响机制，阐明晶粒尺寸、元素分布、第二相特性以及织构类型与材料腐蚀行为之间的映射关系，明确影响其耐腐蚀性能的关键因子</w:t>
      </w:r>
      <w:r w:rsid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2</w:t>
      </w:r>
      <w:r w:rsidR="002E34F3" w:rsidRPr="002E34F3">
        <w:rPr>
          <w:rFonts w:ascii="Times New Roman" w:eastAsia="楷体" w:hAnsi="Times New Roman" w:cs="Times New Roman" w:hint="eastAsia"/>
          <w:sz w:val="32"/>
          <w:szCs w:val="32"/>
        </w:rPr>
        <w:t>）通过成分与工艺的跨尺度协同调控，揭示防护涂层微观结构、化学稳定性与力学性能之间的内在关联与平衡机制，实现其在摩擦腐蚀耦合工况下防护寿命与抗失效能力的同步提升。</w:t>
      </w:r>
      <w:r w:rsidRPr="009A3307">
        <w:rPr>
          <w:rFonts w:ascii="Times New Roman" w:eastAsia="楷体" w:hAnsi="Times New Roman" w:cs="Times New Roman"/>
          <w:sz w:val="32"/>
          <w:szCs w:val="32"/>
        </w:rPr>
        <w:t xml:space="preserve"> </w:t>
      </w:r>
    </w:p>
    <w:p w14:paraId="213FF0AE" w14:textId="3664778A" w:rsidR="00343E37" w:rsidRPr="009A3307" w:rsidRDefault="00343E37" w:rsidP="002E34F3">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lastRenderedPageBreak/>
        <w:t>具体考核指标</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）建立</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套镁基复合材料腐蚀速率与微观结构间的关联模型；（</w:t>
      </w:r>
      <w:r w:rsidR="002E34F3" w:rsidRPr="002E34F3">
        <w:rPr>
          <w:rFonts w:ascii="Times New Roman" w:eastAsia="楷体" w:hAnsi="Times New Roman" w:cs="Times New Roman" w:hint="eastAsia"/>
          <w:sz w:val="32"/>
          <w:szCs w:val="32"/>
        </w:rPr>
        <w:t>2</w:t>
      </w:r>
      <w:r w:rsidR="002E34F3" w:rsidRPr="002E34F3">
        <w:rPr>
          <w:rFonts w:ascii="Times New Roman" w:eastAsia="楷体" w:hAnsi="Times New Roman" w:cs="Times New Roman" w:hint="eastAsia"/>
          <w:sz w:val="32"/>
          <w:szCs w:val="32"/>
        </w:rPr>
        <w:t>）防护涂层厚度≤</w:t>
      </w:r>
      <w:r w:rsidR="002E34F3" w:rsidRPr="002E34F3">
        <w:rPr>
          <w:rFonts w:ascii="Times New Roman" w:eastAsia="楷体" w:hAnsi="Times New Roman" w:cs="Times New Roman" w:hint="eastAsia"/>
          <w:sz w:val="32"/>
          <w:szCs w:val="32"/>
        </w:rPr>
        <w:t>50</w:t>
      </w:r>
      <w:r w:rsidR="002E34F3" w:rsidRPr="002E34F3">
        <w:rPr>
          <w:rFonts w:ascii="Times New Roman" w:eastAsia="楷体" w:hAnsi="Times New Roman" w:cs="Times New Roman" w:hint="eastAsia"/>
          <w:sz w:val="32"/>
          <w:szCs w:val="32"/>
        </w:rPr>
        <w:t>μ</w:t>
      </w:r>
      <w:r w:rsidR="002E34F3" w:rsidRPr="002E34F3">
        <w:rPr>
          <w:rFonts w:ascii="Times New Roman" w:eastAsia="楷体" w:hAnsi="Times New Roman" w:cs="Times New Roman" w:hint="eastAsia"/>
          <w:sz w:val="32"/>
          <w:szCs w:val="32"/>
        </w:rPr>
        <w:t>m</w:t>
      </w:r>
      <w:r w:rsidR="002E34F3" w:rsidRPr="002E34F3">
        <w:rPr>
          <w:rFonts w:ascii="Times New Roman" w:eastAsia="楷体" w:hAnsi="Times New Roman" w:cs="Times New Roman" w:hint="eastAsia"/>
          <w:sz w:val="32"/>
          <w:szCs w:val="32"/>
        </w:rPr>
        <w:t>；标准中性盐雾试验条件下，防护后的腐蚀速率较基体降低≥</w:t>
      </w:r>
      <w:r w:rsidR="002E34F3" w:rsidRPr="002E34F3">
        <w:rPr>
          <w:rFonts w:ascii="Times New Roman" w:eastAsia="楷体" w:hAnsi="Times New Roman" w:cs="Times New Roman" w:hint="eastAsia"/>
          <w:sz w:val="32"/>
          <w:szCs w:val="32"/>
        </w:rPr>
        <w:t>80%</w:t>
      </w:r>
      <w:r w:rsidR="002E34F3" w:rsidRPr="002E34F3">
        <w:rPr>
          <w:rFonts w:ascii="Times New Roman" w:eastAsia="楷体" w:hAnsi="Times New Roman" w:cs="Times New Roman" w:hint="eastAsia"/>
          <w:sz w:val="32"/>
          <w:szCs w:val="32"/>
        </w:rPr>
        <w:t>，且耐盐雾腐蚀时间≥</w:t>
      </w:r>
      <w:r w:rsidR="002E34F3" w:rsidRPr="002E34F3">
        <w:rPr>
          <w:rFonts w:ascii="Times New Roman" w:eastAsia="楷体" w:hAnsi="Times New Roman" w:cs="Times New Roman" w:hint="eastAsia"/>
          <w:sz w:val="32"/>
          <w:szCs w:val="32"/>
        </w:rPr>
        <w:t>72</w:t>
      </w:r>
      <w:r w:rsidR="002E34F3" w:rsidRPr="002E34F3">
        <w:rPr>
          <w:rFonts w:ascii="Times New Roman" w:eastAsia="楷体" w:hAnsi="Times New Roman" w:cs="Times New Roman" w:hint="eastAsia"/>
          <w:sz w:val="32"/>
          <w:szCs w:val="32"/>
        </w:rPr>
        <w:t>小时；标准干磨损试验条件下，防护后的磨损率较基体降低≥</w:t>
      </w:r>
      <w:r w:rsidR="002E34F3" w:rsidRPr="002E34F3">
        <w:rPr>
          <w:rFonts w:ascii="Times New Roman" w:eastAsia="楷体" w:hAnsi="Times New Roman" w:cs="Times New Roman" w:hint="eastAsia"/>
          <w:sz w:val="32"/>
          <w:szCs w:val="32"/>
        </w:rPr>
        <w:t>70%</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3</w:t>
      </w:r>
      <w:r w:rsidR="002E34F3" w:rsidRPr="002E34F3">
        <w:rPr>
          <w:rFonts w:ascii="Times New Roman" w:eastAsia="楷体" w:hAnsi="Times New Roman" w:cs="Times New Roman" w:hint="eastAsia"/>
          <w:sz w:val="32"/>
          <w:szCs w:val="32"/>
        </w:rPr>
        <w:t>）发表</w:t>
      </w:r>
      <w:r w:rsidR="002E34F3" w:rsidRPr="002E34F3">
        <w:rPr>
          <w:rFonts w:ascii="Times New Roman" w:eastAsia="楷体" w:hAnsi="Times New Roman" w:cs="Times New Roman" w:hint="eastAsia"/>
          <w:sz w:val="32"/>
          <w:szCs w:val="32"/>
        </w:rPr>
        <w:t>SCI</w:t>
      </w:r>
      <w:r w:rsidR="002E34F3" w:rsidRPr="002E34F3">
        <w:rPr>
          <w:rFonts w:ascii="Times New Roman" w:eastAsia="楷体" w:hAnsi="Times New Roman" w:cs="Times New Roman" w:hint="eastAsia"/>
          <w:sz w:val="32"/>
          <w:szCs w:val="32"/>
        </w:rPr>
        <w:t>论文</w:t>
      </w:r>
      <w:r w:rsidR="002E34F3" w:rsidRPr="002E34F3">
        <w:rPr>
          <w:rFonts w:ascii="Times New Roman" w:eastAsia="楷体" w:hAnsi="Times New Roman" w:cs="Times New Roman" w:hint="eastAsia"/>
          <w:sz w:val="32"/>
          <w:szCs w:val="32"/>
        </w:rPr>
        <w:t>2~3</w:t>
      </w:r>
      <w:r w:rsidR="002E34F3" w:rsidRPr="002E34F3">
        <w:rPr>
          <w:rFonts w:ascii="Times New Roman" w:eastAsia="楷体" w:hAnsi="Times New Roman" w:cs="Times New Roman" w:hint="eastAsia"/>
          <w:sz w:val="32"/>
          <w:szCs w:val="32"/>
        </w:rPr>
        <w:t>篇；（</w:t>
      </w:r>
      <w:r w:rsidR="002E34F3" w:rsidRPr="002E34F3">
        <w:rPr>
          <w:rFonts w:ascii="Times New Roman" w:eastAsia="楷体" w:hAnsi="Times New Roman" w:cs="Times New Roman" w:hint="eastAsia"/>
          <w:sz w:val="32"/>
          <w:szCs w:val="32"/>
        </w:rPr>
        <w:t>4</w:t>
      </w:r>
      <w:r w:rsidR="002E34F3" w:rsidRPr="002E34F3">
        <w:rPr>
          <w:rFonts w:ascii="Times New Roman" w:eastAsia="楷体" w:hAnsi="Times New Roman" w:cs="Times New Roman" w:hint="eastAsia"/>
          <w:sz w:val="32"/>
          <w:szCs w:val="32"/>
        </w:rPr>
        <w:t>）形成技术研究报告。</w:t>
      </w:r>
    </w:p>
    <w:p w14:paraId="19C87E7A" w14:textId="5A676763" w:rsidR="00343E37" w:rsidRPr="009A3307" w:rsidRDefault="00343E37" w:rsidP="00343E3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智能传感功能材料全国重点实验室平台</w:t>
      </w:r>
    </w:p>
    <w:p w14:paraId="3BA8CF82" w14:textId="4CF10ED3" w:rsidR="00343E37" w:rsidRPr="009A3307" w:rsidRDefault="00343E37" w:rsidP="00EB4533">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周增林</w:t>
      </w:r>
      <w:r w:rsidR="003A48D8"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13693633739</w:t>
      </w:r>
      <w:r w:rsidR="003A48D8"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zhouzenglin@grinm.com</w:t>
      </w:r>
    </w:p>
    <w:p w14:paraId="117BE7A6" w14:textId="77777777" w:rsidR="00343E37" w:rsidRPr="009A3307" w:rsidRDefault="00343E37" w:rsidP="00AC1CD6">
      <w:pPr>
        <w:snapToGrid w:val="0"/>
        <w:spacing w:line="336" w:lineRule="auto"/>
        <w:ind w:firstLineChars="200" w:firstLine="640"/>
        <w:jc w:val="left"/>
        <w:rPr>
          <w:rFonts w:ascii="Times New Roman" w:eastAsia="楷体" w:hAnsi="Times New Roman" w:cs="Times New Roman"/>
          <w:sz w:val="32"/>
          <w:szCs w:val="32"/>
        </w:rPr>
      </w:pPr>
    </w:p>
    <w:p w14:paraId="5436B1F5" w14:textId="15C00632" w:rsidR="00514525" w:rsidRPr="009A3307" w:rsidRDefault="00514525" w:rsidP="00514525">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7 </w:t>
      </w:r>
      <w:r w:rsidR="002E34F3" w:rsidRPr="002E34F3">
        <w:rPr>
          <w:rFonts w:ascii="Times New Roman" w:eastAsia="黑体" w:hAnsi="Times New Roman" w:cs="Times New Roman" w:hint="eastAsia"/>
          <w:b/>
          <w:bCs/>
          <w:color w:val="0070C0"/>
          <w:sz w:val="32"/>
          <w:szCs w:val="32"/>
        </w:rPr>
        <w:t>高灵敏高选择便携式特种气体传感技术研究</w:t>
      </w:r>
    </w:p>
    <w:p w14:paraId="5155D53A" w14:textId="00766885"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2E34F3" w:rsidRPr="002E34F3">
        <w:rPr>
          <w:rFonts w:ascii="Times New Roman" w:eastAsia="楷体" w:hAnsi="Times New Roman" w:cs="Times New Roman" w:hint="eastAsia"/>
          <w:sz w:val="32"/>
          <w:szCs w:val="32"/>
        </w:rPr>
        <w:t>针对维护国家安全与公共健康、打破欧美日主导的专利壁垒以及应对技术竞争窗口期缩短的迫切需求，开展对芥子气、苯丙胺类等特种气体高灵敏、高选择的气敏便携式传感技术研究，聚焦微型化、集成化与智能化的材料</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器件</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系统全链条创新。通过此项研究，落实全重实验室重组后“四个面向”，实现关键气敏材料和器件的自主可控，提升我国在特种环境安全监测和毒品防控领域的战略主动权，并带动军用安全监测与医疗诊断两个百亿级市场发展，引领行业标准和抢占全球市场。</w:t>
      </w:r>
    </w:p>
    <w:p w14:paraId="64E1E803" w14:textId="14C56617" w:rsidR="00514525" w:rsidRPr="009A3307" w:rsidRDefault="00514525" w:rsidP="002E34F3">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）敏感材料与目标分子的特异性相互作用与电荷</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能量转移规律；（</w:t>
      </w:r>
      <w:r w:rsidR="002E34F3" w:rsidRPr="002E34F3">
        <w:rPr>
          <w:rFonts w:ascii="Times New Roman" w:eastAsia="楷体" w:hAnsi="Times New Roman" w:cs="Times New Roman" w:hint="eastAsia"/>
          <w:sz w:val="32"/>
          <w:szCs w:val="32"/>
        </w:rPr>
        <w:t>2</w:t>
      </w:r>
      <w:r w:rsidR="002E34F3" w:rsidRPr="002E34F3">
        <w:rPr>
          <w:rFonts w:ascii="Times New Roman" w:eastAsia="楷体" w:hAnsi="Times New Roman" w:cs="Times New Roman" w:hint="eastAsia"/>
          <w:sz w:val="32"/>
          <w:szCs w:val="32"/>
        </w:rPr>
        <w:t>）多模态传感单元高效集成的架构设计和信号协同。</w:t>
      </w:r>
    </w:p>
    <w:p w14:paraId="498EA20B" w14:textId="507E4CF4" w:rsidR="00514525" w:rsidRPr="009A3307" w:rsidRDefault="00514525" w:rsidP="002E34F3">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）阐明苯丙胺类气体的催化发光型传感机制，建立理论模型，灵敏度大于等于现有同类型技术灵敏度的</w:t>
      </w:r>
      <w:r w:rsidR="002E34F3" w:rsidRPr="002E34F3">
        <w:rPr>
          <w:rFonts w:ascii="Times New Roman" w:eastAsia="楷体" w:hAnsi="Times New Roman" w:cs="Times New Roman" w:hint="eastAsia"/>
          <w:sz w:val="32"/>
          <w:szCs w:val="32"/>
        </w:rPr>
        <w:lastRenderedPageBreak/>
        <w:t>150%</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2</w:t>
      </w:r>
      <w:r w:rsidR="002E34F3" w:rsidRPr="002E34F3">
        <w:rPr>
          <w:rFonts w:ascii="Times New Roman" w:eastAsia="楷体" w:hAnsi="Times New Roman" w:cs="Times New Roman" w:hint="eastAsia"/>
          <w:sz w:val="32"/>
          <w:szCs w:val="32"/>
        </w:rPr>
        <w:t>）阐明芥子气模拟气的高选择高灵敏电学传感机制，开发特异性传感的新型判定方法，灵敏度≥</w:t>
      </w:r>
      <w:r w:rsidR="002E34F3" w:rsidRPr="002E34F3">
        <w:rPr>
          <w:rFonts w:ascii="Times New Roman" w:eastAsia="楷体" w:hAnsi="Times New Roman" w:cs="Times New Roman" w:hint="eastAsia"/>
          <w:sz w:val="32"/>
          <w:szCs w:val="32"/>
        </w:rPr>
        <w:t>150%</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3</w:t>
      </w:r>
      <w:r w:rsidR="002E34F3" w:rsidRPr="002E34F3">
        <w:rPr>
          <w:rFonts w:ascii="Times New Roman" w:eastAsia="楷体" w:hAnsi="Times New Roman" w:cs="Times New Roman" w:hint="eastAsia"/>
          <w:sz w:val="32"/>
          <w:szCs w:val="32"/>
        </w:rPr>
        <w:t>）响应时间：≤</w:t>
      </w:r>
      <w:r w:rsidR="002E34F3" w:rsidRPr="002E34F3">
        <w:rPr>
          <w:rFonts w:ascii="Times New Roman" w:eastAsia="楷体" w:hAnsi="Times New Roman" w:cs="Times New Roman" w:hint="eastAsia"/>
          <w:sz w:val="32"/>
          <w:szCs w:val="32"/>
        </w:rPr>
        <w:t>30</w:t>
      </w:r>
      <w:r w:rsidR="002E34F3" w:rsidRPr="002E34F3">
        <w:rPr>
          <w:rFonts w:ascii="Times New Roman" w:eastAsia="楷体" w:hAnsi="Times New Roman" w:cs="Times New Roman" w:hint="eastAsia"/>
          <w:sz w:val="32"/>
          <w:szCs w:val="32"/>
        </w:rPr>
        <w:t>秒；实测检测限：≤</w:t>
      </w:r>
      <w:r w:rsidR="002E34F3" w:rsidRPr="002E34F3">
        <w:rPr>
          <w:rFonts w:ascii="Times New Roman" w:eastAsia="楷体" w:hAnsi="Times New Roman" w:cs="Times New Roman" w:hint="eastAsia"/>
          <w:sz w:val="32"/>
          <w:szCs w:val="32"/>
        </w:rPr>
        <w:t>10 ppm</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4</w:t>
      </w:r>
      <w:r w:rsidR="002E34F3" w:rsidRPr="002E34F3">
        <w:rPr>
          <w:rFonts w:ascii="Times New Roman" w:eastAsia="楷体" w:hAnsi="Times New Roman" w:cs="Times New Roman" w:hint="eastAsia"/>
          <w:sz w:val="32"/>
          <w:szCs w:val="32"/>
        </w:rPr>
        <w:t>）双方合作发表</w:t>
      </w:r>
      <w:r w:rsidR="002E34F3" w:rsidRPr="002E34F3">
        <w:rPr>
          <w:rFonts w:ascii="Times New Roman" w:eastAsia="楷体" w:hAnsi="Times New Roman" w:cs="Times New Roman" w:hint="eastAsia"/>
          <w:sz w:val="32"/>
          <w:szCs w:val="32"/>
        </w:rPr>
        <w:t>SCI</w:t>
      </w:r>
      <w:r w:rsidR="002E34F3" w:rsidRPr="002E34F3">
        <w:rPr>
          <w:rFonts w:ascii="Times New Roman" w:eastAsia="楷体" w:hAnsi="Times New Roman" w:cs="Times New Roman" w:hint="eastAsia"/>
          <w:sz w:val="32"/>
          <w:szCs w:val="32"/>
        </w:rPr>
        <w:t>论文≥</w:t>
      </w:r>
      <w:r w:rsidR="002E34F3" w:rsidRPr="002E34F3">
        <w:rPr>
          <w:rFonts w:ascii="Times New Roman" w:eastAsia="楷体" w:hAnsi="Times New Roman" w:cs="Times New Roman" w:hint="eastAsia"/>
          <w:sz w:val="32"/>
          <w:szCs w:val="32"/>
        </w:rPr>
        <w:t>1</w:t>
      </w:r>
      <w:r w:rsidR="002E34F3" w:rsidRPr="002E34F3">
        <w:rPr>
          <w:rFonts w:ascii="Times New Roman" w:eastAsia="楷体" w:hAnsi="Times New Roman" w:cs="Times New Roman" w:hint="eastAsia"/>
          <w:sz w:val="32"/>
          <w:szCs w:val="32"/>
        </w:rPr>
        <w:t>篇；申请发明专利≥</w:t>
      </w:r>
      <w:r w:rsidR="002E34F3" w:rsidRPr="002E34F3">
        <w:rPr>
          <w:rFonts w:ascii="Times New Roman" w:eastAsia="楷体" w:hAnsi="Times New Roman" w:cs="Times New Roman" w:hint="eastAsia"/>
          <w:sz w:val="32"/>
          <w:szCs w:val="32"/>
        </w:rPr>
        <w:t>2</w:t>
      </w:r>
      <w:r w:rsidR="002E34F3" w:rsidRPr="002E34F3">
        <w:rPr>
          <w:rFonts w:ascii="Times New Roman" w:eastAsia="楷体" w:hAnsi="Times New Roman" w:cs="Times New Roman" w:hint="eastAsia"/>
          <w:sz w:val="32"/>
          <w:szCs w:val="32"/>
        </w:rPr>
        <w:t>项。</w:t>
      </w:r>
    </w:p>
    <w:p w14:paraId="7FEB497F" w14:textId="64B3DFBC"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智能传感功能材料全国重点实验室平台</w:t>
      </w:r>
    </w:p>
    <w:p w14:paraId="006F949C" w14:textId="50266C54" w:rsidR="00514525" w:rsidRPr="009A3307" w:rsidRDefault="00514525" w:rsidP="00514525">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2E34F3" w:rsidRPr="002E34F3">
        <w:rPr>
          <w:rFonts w:ascii="Times New Roman" w:eastAsia="楷体" w:hAnsi="Times New Roman" w:cs="Times New Roman" w:hint="eastAsia"/>
          <w:sz w:val="32"/>
          <w:szCs w:val="32"/>
        </w:rPr>
        <w:t>郭伟清，</w:t>
      </w:r>
      <w:r w:rsidR="002E34F3" w:rsidRPr="002E34F3">
        <w:rPr>
          <w:rFonts w:ascii="Times New Roman" w:eastAsia="楷体" w:hAnsi="Times New Roman" w:cs="Times New Roman" w:hint="eastAsia"/>
          <w:sz w:val="32"/>
          <w:szCs w:val="32"/>
        </w:rPr>
        <w:t>13544392272</w:t>
      </w:r>
      <w:r w:rsidR="002E34F3" w:rsidRPr="002E34F3">
        <w:rPr>
          <w:rFonts w:ascii="Times New Roman" w:eastAsia="楷体" w:hAnsi="Times New Roman" w:cs="Times New Roman" w:hint="eastAsia"/>
          <w:sz w:val="32"/>
          <w:szCs w:val="32"/>
        </w:rPr>
        <w:t>，</w:t>
      </w:r>
      <w:r w:rsidR="002E34F3" w:rsidRPr="002E34F3">
        <w:rPr>
          <w:rFonts w:ascii="Times New Roman" w:eastAsia="楷体" w:hAnsi="Times New Roman" w:cs="Times New Roman" w:hint="eastAsia"/>
          <w:sz w:val="32"/>
          <w:szCs w:val="32"/>
        </w:rPr>
        <w:t>guoweiqing@grinm.com</w:t>
      </w:r>
    </w:p>
    <w:p w14:paraId="2E00151C" w14:textId="77777777" w:rsidR="00514525" w:rsidRDefault="00514525" w:rsidP="00AC1CD6">
      <w:pPr>
        <w:snapToGrid w:val="0"/>
        <w:spacing w:line="336" w:lineRule="auto"/>
        <w:ind w:firstLineChars="200" w:firstLine="640"/>
        <w:jc w:val="left"/>
        <w:rPr>
          <w:rFonts w:ascii="Times New Roman" w:eastAsia="楷体" w:hAnsi="Times New Roman" w:cs="Times New Roman"/>
          <w:sz w:val="32"/>
          <w:szCs w:val="32"/>
        </w:rPr>
      </w:pPr>
    </w:p>
    <w:p w14:paraId="22EF435B" w14:textId="796B68F7" w:rsidR="00DE6297" w:rsidRPr="009A3307" w:rsidRDefault="00DE6297" w:rsidP="00DE6297">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Pr>
          <w:rFonts w:ascii="Times New Roman" w:eastAsia="黑体" w:hAnsi="Times New Roman" w:cs="Times New Roman" w:hint="eastAsia"/>
          <w:b/>
          <w:bCs/>
          <w:color w:val="0070C0"/>
          <w:sz w:val="32"/>
          <w:szCs w:val="32"/>
        </w:rPr>
        <w:t>8</w:t>
      </w:r>
      <w:r w:rsidRPr="009A3307">
        <w:rPr>
          <w:rFonts w:ascii="Times New Roman" w:eastAsia="黑体" w:hAnsi="Times New Roman" w:cs="Times New Roman"/>
          <w:b/>
          <w:bCs/>
          <w:color w:val="0070C0"/>
          <w:sz w:val="32"/>
          <w:szCs w:val="32"/>
        </w:rPr>
        <w:t xml:space="preserve"> </w:t>
      </w:r>
      <w:r w:rsidRPr="00DE6297">
        <w:rPr>
          <w:rFonts w:ascii="Times New Roman" w:eastAsia="黑体" w:hAnsi="Times New Roman" w:cs="Times New Roman" w:hint="eastAsia"/>
          <w:b/>
          <w:bCs/>
          <w:color w:val="0070C0"/>
          <w:sz w:val="32"/>
          <w:szCs w:val="32"/>
        </w:rPr>
        <w:t>高分散超小尺寸纳米铜粉放大效应影响机制的研究</w:t>
      </w:r>
    </w:p>
    <w:p w14:paraId="4FF7C5CF" w14:textId="2B94E8F9" w:rsidR="00DE6297" w:rsidRPr="009A3307" w:rsidRDefault="00DE6297" w:rsidP="00DE629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Pr="00DE6297">
        <w:rPr>
          <w:rFonts w:ascii="Times New Roman" w:eastAsia="楷体" w:hAnsi="Times New Roman" w:cs="Times New Roman" w:hint="eastAsia"/>
          <w:sz w:val="32"/>
          <w:szCs w:val="32"/>
        </w:rPr>
        <w:t>针对集成电路、半导体、光伏新能源等对低烧结温度、低软化温度、高比表面以及高导电导热纳米铜粉关键基础原材料的迫切需求，开展高分散超小尺寸纳米铜粉的可控制备技术与放大效应影响机制研究，研究并突破高分散超小尺寸球形纳米铜粉定向精准调控、工程放大多尺度均匀传质</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传热工艺控制、多维构效关系智能评测等关键技术，形成拥有自主知识产权的纳米铜粉批量稳定生产技术，实现面向光伏电池、</w:t>
      </w:r>
      <w:r w:rsidRPr="00DE6297">
        <w:rPr>
          <w:rFonts w:ascii="Times New Roman" w:eastAsia="楷体" w:hAnsi="Times New Roman" w:cs="Times New Roman" w:hint="eastAsia"/>
          <w:sz w:val="32"/>
          <w:szCs w:val="32"/>
        </w:rPr>
        <w:t>PCB</w:t>
      </w:r>
      <w:r w:rsidRPr="00DE6297">
        <w:rPr>
          <w:rFonts w:ascii="Times New Roman" w:eastAsia="楷体" w:hAnsi="Times New Roman" w:cs="Times New Roman" w:hint="eastAsia"/>
          <w:sz w:val="32"/>
          <w:szCs w:val="32"/>
        </w:rPr>
        <w:t>互联电子浆料用高分散超小尺寸纳米铜粉的开发。</w:t>
      </w:r>
    </w:p>
    <w:p w14:paraId="6F6C888A" w14:textId="32258A51" w:rsidR="00DE6297" w:rsidRPr="009A3307" w:rsidRDefault="00DE6297" w:rsidP="00DE629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）超小晶核的“爆发式”成核与“精准”表面修饰的动态竞争机制；（</w:t>
      </w:r>
      <w:r w:rsidRPr="00DE6297">
        <w:rPr>
          <w:rFonts w:ascii="Times New Roman" w:eastAsia="楷体" w:hAnsi="Times New Roman" w:cs="Times New Roman" w:hint="eastAsia"/>
          <w:sz w:val="32"/>
          <w:szCs w:val="32"/>
        </w:rPr>
        <w:t>2</w:t>
      </w:r>
      <w:r w:rsidRPr="00DE6297">
        <w:rPr>
          <w:rFonts w:ascii="Times New Roman" w:eastAsia="楷体" w:hAnsi="Times New Roman" w:cs="Times New Roman" w:hint="eastAsia"/>
          <w:sz w:val="32"/>
          <w:szCs w:val="32"/>
        </w:rPr>
        <w:t>）制备过程中“微观混合”与“宏观流动”的跨尺度传递效应。</w:t>
      </w:r>
    </w:p>
    <w:p w14:paraId="31BEF704" w14:textId="7698704B" w:rsidR="00DE6297" w:rsidRPr="009A3307" w:rsidRDefault="00DE6297" w:rsidP="00DE629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）技术指标：精确控制球形纳米铜粉粒径，形成</w:t>
      </w:r>
      <w:r w:rsidRPr="00DE6297">
        <w:rPr>
          <w:rFonts w:ascii="Times New Roman" w:eastAsia="楷体" w:hAnsi="Times New Roman" w:cs="Times New Roman" w:hint="eastAsia"/>
          <w:sz w:val="32"/>
          <w:szCs w:val="32"/>
        </w:rPr>
        <w:t>2</w:t>
      </w:r>
      <w:r w:rsidRPr="00DE6297">
        <w:rPr>
          <w:rFonts w:ascii="Times New Roman" w:eastAsia="楷体" w:hAnsi="Times New Roman" w:cs="Times New Roman" w:hint="eastAsia"/>
          <w:sz w:val="32"/>
          <w:szCs w:val="32"/>
        </w:rPr>
        <w:t>种粒径产品原型，平均尺寸分别为：</w:t>
      </w:r>
      <w:r w:rsidRPr="00DE6297">
        <w:rPr>
          <w:rFonts w:ascii="Times New Roman" w:eastAsia="楷体" w:hAnsi="Times New Roman" w:cs="Times New Roman" w:hint="eastAsia"/>
          <w:sz w:val="32"/>
          <w:szCs w:val="32"/>
        </w:rPr>
        <w:t>30nm</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50nm</w:t>
      </w:r>
      <w:r w:rsidRPr="00DE6297">
        <w:rPr>
          <w:rFonts w:ascii="Times New Roman" w:eastAsia="楷体" w:hAnsi="Times New Roman" w:cs="Times New Roman" w:hint="eastAsia"/>
          <w:sz w:val="32"/>
          <w:szCs w:val="32"/>
        </w:rPr>
        <w:t>，粒径分布满足：</w:t>
      </w:r>
      <w:r w:rsidRPr="00DE6297">
        <w:rPr>
          <w:rFonts w:ascii="Times New Roman" w:eastAsia="楷体" w:hAnsi="Times New Roman" w:cs="Times New Roman" w:hint="eastAsia"/>
          <w:sz w:val="32"/>
          <w:szCs w:val="32"/>
        </w:rPr>
        <w:t>D10/D50</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0.1</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D90/D50</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3</w:t>
      </w:r>
      <w:r w:rsidRPr="00DE6297">
        <w:rPr>
          <w:rFonts w:ascii="Times New Roman" w:eastAsia="楷体" w:hAnsi="Times New Roman" w:cs="Times New Roman" w:hint="eastAsia"/>
          <w:sz w:val="32"/>
          <w:szCs w:val="32"/>
        </w:rPr>
        <w:t>，氧含量≤</w:t>
      </w:r>
      <w:r w:rsidRPr="00DE6297">
        <w:rPr>
          <w:rFonts w:ascii="Times New Roman" w:eastAsia="楷体" w:hAnsi="Times New Roman" w:cs="Times New Roman" w:hint="eastAsia"/>
          <w:sz w:val="32"/>
          <w:szCs w:val="32"/>
        </w:rPr>
        <w:t>1.5%</w:t>
      </w:r>
      <w:r w:rsidRPr="00DE6297">
        <w:rPr>
          <w:rFonts w:ascii="Times New Roman" w:eastAsia="楷体" w:hAnsi="Times New Roman" w:cs="Times New Roman" w:hint="eastAsia"/>
          <w:sz w:val="32"/>
          <w:szCs w:val="32"/>
        </w:rPr>
        <w:t>；振实密度≥</w:t>
      </w:r>
      <w:r w:rsidRPr="00DE6297">
        <w:rPr>
          <w:rFonts w:ascii="Times New Roman" w:eastAsia="楷体" w:hAnsi="Times New Roman" w:cs="Times New Roman" w:hint="eastAsia"/>
          <w:sz w:val="32"/>
          <w:szCs w:val="32"/>
        </w:rPr>
        <w:t>2.0g/cm3</w:t>
      </w:r>
      <w:r w:rsidRPr="00DE6297">
        <w:rPr>
          <w:rFonts w:ascii="Times New Roman" w:eastAsia="楷体" w:hAnsi="Times New Roman" w:cs="Times New Roman" w:hint="eastAsia"/>
          <w:sz w:val="32"/>
          <w:szCs w:val="32"/>
        </w:rPr>
        <w:t>，比表面积≥</w:t>
      </w:r>
      <w:r w:rsidRPr="00DE6297">
        <w:rPr>
          <w:rFonts w:ascii="Times New Roman" w:eastAsia="楷体" w:hAnsi="Times New Roman" w:cs="Times New Roman" w:hint="eastAsia"/>
          <w:sz w:val="32"/>
          <w:szCs w:val="32"/>
        </w:rPr>
        <w:t>4.0m2/g</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2</w:t>
      </w:r>
      <w:r w:rsidRPr="00DE6297">
        <w:rPr>
          <w:rFonts w:ascii="Times New Roman" w:eastAsia="楷体" w:hAnsi="Times New Roman" w:cs="Times New Roman" w:hint="eastAsia"/>
          <w:sz w:val="32"/>
          <w:szCs w:val="32"/>
        </w:rPr>
        <w:t>）工程化指标：建立工程化工艺流程，实现全流程（合成</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固液分离</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洗涤钝化</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干</w:t>
      </w:r>
      <w:r w:rsidRPr="00DE6297">
        <w:rPr>
          <w:rFonts w:ascii="Times New Roman" w:eastAsia="楷体" w:hAnsi="Times New Roman" w:cs="Times New Roman" w:hint="eastAsia"/>
          <w:sz w:val="32"/>
          <w:szCs w:val="32"/>
        </w:rPr>
        <w:lastRenderedPageBreak/>
        <w:t>燥</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破碎筛分）贯通，</w:t>
      </w:r>
      <w:r w:rsidRPr="00DE6297">
        <w:rPr>
          <w:rFonts w:ascii="Times New Roman" w:eastAsia="楷体" w:hAnsi="Times New Roman" w:cs="Times New Roman" w:hint="eastAsia"/>
          <w:sz w:val="32"/>
          <w:szCs w:val="32"/>
        </w:rPr>
        <w:t>100L</w:t>
      </w:r>
      <w:r w:rsidRPr="00DE6297">
        <w:rPr>
          <w:rFonts w:ascii="Times New Roman" w:eastAsia="楷体" w:hAnsi="Times New Roman" w:cs="Times New Roman" w:hint="eastAsia"/>
          <w:sz w:val="32"/>
          <w:szCs w:val="32"/>
        </w:rPr>
        <w:t>单釜产能≥</w:t>
      </w:r>
      <w:r w:rsidRPr="00DE6297">
        <w:rPr>
          <w:rFonts w:ascii="Times New Roman" w:eastAsia="楷体" w:hAnsi="Times New Roman" w:cs="Times New Roman" w:hint="eastAsia"/>
          <w:sz w:val="32"/>
          <w:szCs w:val="32"/>
        </w:rPr>
        <w:t>300g</w:t>
      </w:r>
      <w:r w:rsidRPr="00DE6297">
        <w:rPr>
          <w:rFonts w:ascii="Times New Roman" w:eastAsia="楷体" w:hAnsi="Times New Roman" w:cs="Times New Roman" w:hint="eastAsia"/>
          <w:sz w:val="32"/>
          <w:szCs w:val="32"/>
        </w:rPr>
        <w:t>；（</w:t>
      </w:r>
      <w:r w:rsidRPr="00DE6297">
        <w:rPr>
          <w:rFonts w:ascii="Times New Roman" w:eastAsia="楷体" w:hAnsi="Times New Roman" w:cs="Times New Roman" w:hint="eastAsia"/>
          <w:sz w:val="32"/>
          <w:szCs w:val="32"/>
        </w:rPr>
        <w:t>3</w:t>
      </w:r>
      <w:r w:rsidRPr="00DE6297">
        <w:rPr>
          <w:rFonts w:ascii="Times New Roman" w:eastAsia="楷体" w:hAnsi="Times New Roman" w:cs="Times New Roman" w:hint="eastAsia"/>
          <w:sz w:val="32"/>
          <w:szCs w:val="32"/>
        </w:rPr>
        <w:t>）文章和专利：发表</w:t>
      </w:r>
      <w:r w:rsidRPr="00DE6297">
        <w:rPr>
          <w:rFonts w:ascii="Times New Roman" w:eastAsia="楷体" w:hAnsi="Times New Roman" w:cs="Times New Roman" w:hint="eastAsia"/>
          <w:sz w:val="32"/>
          <w:szCs w:val="32"/>
        </w:rPr>
        <w:t>SCI</w:t>
      </w:r>
      <w:r w:rsidRPr="00DE6297">
        <w:rPr>
          <w:rFonts w:ascii="Times New Roman" w:eastAsia="楷体" w:hAnsi="Times New Roman" w:cs="Times New Roman" w:hint="eastAsia"/>
          <w:sz w:val="32"/>
          <w:szCs w:val="32"/>
        </w:rPr>
        <w:t>论文≥</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篇；申请发明专利≥</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项；（</w:t>
      </w:r>
      <w:r w:rsidRPr="00DE6297">
        <w:rPr>
          <w:rFonts w:ascii="Times New Roman" w:eastAsia="楷体" w:hAnsi="Times New Roman" w:cs="Times New Roman" w:hint="eastAsia"/>
          <w:sz w:val="32"/>
          <w:szCs w:val="32"/>
        </w:rPr>
        <w:t>4</w:t>
      </w:r>
      <w:r w:rsidRPr="00DE6297">
        <w:rPr>
          <w:rFonts w:ascii="Times New Roman" w:eastAsia="楷体" w:hAnsi="Times New Roman" w:cs="Times New Roman" w:hint="eastAsia"/>
          <w:sz w:val="32"/>
          <w:szCs w:val="32"/>
        </w:rPr>
        <w:t>）联合培养研究生</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名，技术研究报告</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份，技术规范</w:t>
      </w:r>
      <w:r w:rsidRPr="00DE6297">
        <w:rPr>
          <w:rFonts w:ascii="Times New Roman" w:eastAsia="楷体" w:hAnsi="Times New Roman" w:cs="Times New Roman" w:hint="eastAsia"/>
          <w:sz w:val="32"/>
          <w:szCs w:val="32"/>
        </w:rPr>
        <w:t>1</w:t>
      </w:r>
      <w:r w:rsidRPr="00DE6297">
        <w:rPr>
          <w:rFonts w:ascii="Times New Roman" w:eastAsia="楷体" w:hAnsi="Times New Roman" w:cs="Times New Roman" w:hint="eastAsia"/>
          <w:sz w:val="32"/>
          <w:szCs w:val="32"/>
        </w:rPr>
        <w:t>份。</w:t>
      </w:r>
    </w:p>
    <w:p w14:paraId="0617290D" w14:textId="77777777" w:rsidR="00DE6297" w:rsidRPr="009A3307" w:rsidRDefault="00DE6297" w:rsidP="00DE629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：金属粉体产业技术研究院</w:t>
      </w:r>
    </w:p>
    <w:p w14:paraId="418E8DF9" w14:textId="60C70B2A" w:rsidR="00DE6297" w:rsidRPr="009A3307" w:rsidRDefault="00DE6297" w:rsidP="00DE6297">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Pr="00DE6297">
        <w:rPr>
          <w:rFonts w:ascii="Times New Roman" w:eastAsia="楷体" w:hAnsi="Times New Roman" w:cs="Times New Roman" w:hint="eastAsia"/>
          <w:sz w:val="32"/>
          <w:szCs w:val="32"/>
        </w:rPr>
        <w:t>王程鋆</w:t>
      </w:r>
      <w:r w:rsidRPr="009A3307">
        <w:rPr>
          <w:rFonts w:ascii="Times New Roman" w:eastAsia="楷体" w:hAnsi="Times New Roman" w:cs="Times New Roman"/>
          <w:sz w:val="32"/>
          <w:szCs w:val="32"/>
        </w:rPr>
        <w:t>，</w:t>
      </w:r>
      <w:r w:rsidRPr="00DE6297">
        <w:rPr>
          <w:rFonts w:ascii="Times New Roman" w:eastAsia="楷体" w:hAnsi="Times New Roman" w:cs="Times New Roman" w:hint="eastAsia"/>
          <w:sz w:val="32"/>
          <w:szCs w:val="32"/>
        </w:rPr>
        <w:t>15555481768</w:t>
      </w:r>
      <w:r w:rsidRPr="009A3307">
        <w:rPr>
          <w:rFonts w:ascii="Times New Roman" w:eastAsia="楷体" w:hAnsi="Times New Roman" w:cs="Times New Roman"/>
          <w:sz w:val="32"/>
          <w:szCs w:val="32"/>
        </w:rPr>
        <w:t>，</w:t>
      </w:r>
      <w:r w:rsidRPr="00DE6297">
        <w:rPr>
          <w:rFonts w:ascii="Times New Roman" w:eastAsia="楷体" w:hAnsi="Times New Roman" w:cs="Times New Roman" w:hint="eastAsia"/>
          <w:sz w:val="32"/>
          <w:szCs w:val="32"/>
        </w:rPr>
        <w:t>wcj@gripmcq.com</w:t>
      </w:r>
    </w:p>
    <w:p w14:paraId="7575B85A" w14:textId="77777777" w:rsidR="00DE6297" w:rsidRPr="00DE6297" w:rsidRDefault="00DE6297" w:rsidP="00AC1CD6">
      <w:pPr>
        <w:snapToGrid w:val="0"/>
        <w:spacing w:line="336" w:lineRule="auto"/>
        <w:ind w:firstLineChars="200" w:firstLine="640"/>
        <w:jc w:val="left"/>
        <w:rPr>
          <w:rFonts w:ascii="Times New Roman" w:eastAsia="楷体" w:hAnsi="Times New Roman" w:cs="Times New Roman" w:hint="eastAsia"/>
          <w:sz w:val="32"/>
          <w:szCs w:val="32"/>
        </w:rPr>
      </w:pPr>
    </w:p>
    <w:sectPr w:rsidR="00DE6297" w:rsidRPr="00DE6297" w:rsidSect="00BC2F44">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3485" w14:textId="77777777" w:rsidR="00D45FBA" w:rsidRDefault="00D45FBA" w:rsidP="00DD255F">
      <w:pPr>
        <w:rPr>
          <w:rFonts w:hint="eastAsia"/>
        </w:rPr>
      </w:pPr>
      <w:r>
        <w:separator/>
      </w:r>
    </w:p>
  </w:endnote>
  <w:endnote w:type="continuationSeparator" w:id="0">
    <w:p w14:paraId="3F9CDC20" w14:textId="77777777" w:rsidR="00D45FBA" w:rsidRDefault="00D45FBA" w:rsidP="00DD25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73382"/>
      <w:docPartObj>
        <w:docPartGallery w:val="Page Numbers (Bottom of Page)"/>
        <w:docPartUnique/>
      </w:docPartObj>
    </w:sdtPr>
    <w:sdtContent>
      <w:p w14:paraId="705D0F5A" w14:textId="7CFEA2E4" w:rsidR="00067033" w:rsidRDefault="00067033">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1BC35353" w14:textId="77777777" w:rsidR="00067033" w:rsidRDefault="0006703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2108" w14:textId="77777777" w:rsidR="00D45FBA" w:rsidRDefault="00D45FBA" w:rsidP="00DD255F">
      <w:pPr>
        <w:rPr>
          <w:rFonts w:hint="eastAsia"/>
        </w:rPr>
      </w:pPr>
      <w:r>
        <w:separator/>
      </w:r>
    </w:p>
  </w:footnote>
  <w:footnote w:type="continuationSeparator" w:id="0">
    <w:p w14:paraId="50288025" w14:textId="77777777" w:rsidR="00D45FBA" w:rsidRDefault="00D45FBA" w:rsidP="00DD255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B0"/>
    <w:rsid w:val="00057F94"/>
    <w:rsid w:val="00067033"/>
    <w:rsid w:val="00092E19"/>
    <w:rsid w:val="00094985"/>
    <w:rsid w:val="000A17D4"/>
    <w:rsid w:val="000B61C1"/>
    <w:rsid w:val="00121E1A"/>
    <w:rsid w:val="002E34F3"/>
    <w:rsid w:val="00343E37"/>
    <w:rsid w:val="003A48D8"/>
    <w:rsid w:val="00402A35"/>
    <w:rsid w:val="004C3B91"/>
    <w:rsid w:val="00514525"/>
    <w:rsid w:val="0056680F"/>
    <w:rsid w:val="005868CB"/>
    <w:rsid w:val="005A30C8"/>
    <w:rsid w:val="0063764D"/>
    <w:rsid w:val="006B5354"/>
    <w:rsid w:val="007C728B"/>
    <w:rsid w:val="00882F59"/>
    <w:rsid w:val="00915C6A"/>
    <w:rsid w:val="0092668D"/>
    <w:rsid w:val="00936BB0"/>
    <w:rsid w:val="009A3307"/>
    <w:rsid w:val="009F2F9B"/>
    <w:rsid w:val="00AC1CD6"/>
    <w:rsid w:val="00B35C77"/>
    <w:rsid w:val="00B60A21"/>
    <w:rsid w:val="00BC2F44"/>
    <w:rsid w:val="00BC3F22"/>
    <w:rsid w:val="00BE4032"/>
    <w:rsid w:val="00BE6A2C"/>
    <w:rsid w:val="00D07DFD"/>
    <w:rsid w:val="00D45FBA"/>
    <w:rsid w:val="00D95E65"/>
    <w:rsid w:val="00DA3FD7"/>
    <w:rsid w:val="00DD255F"/>
    <w:rsid w:val="00DE6297"/>
    <w:rsid w:val="00E37474"/>
    <w:rsid w:val="00E526D0"/>
    <w:rsid w:val="00EB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B89C"/>
  <w15:chartTrackingRefBased/>
  <w15:docId w15:val="{47F22401-BC66-4068-97D7-E0EC925C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5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55F"/>
    <w:rPr>
      <w:sz w:val="18"/>
      <w:szCs w:val="18"/>
    </w:rPr>
  </w:style>
  <w:style w:type="paragraph" w:styleId="a5">
    <w:name w:val="footer"/>
    <w:basedOn w:val="a"/>
    <w:link w:val="a6"/>
    <w:uiPriority w:val="99"/>
    <w:unhideWhenUsed/>
    <w:rsid w:val="00DD255F"/>
    <w:pPr>
      <w:tabs>
        <w:tab w:val="center" w:pos="4153"/>
        <w:tab w:val="right" w:pos="8306"/>
      </w:tabs>
      <w:snapToGrid w:val="0"/>
      <w:jc w:val="left"/>
    </w:pPr>
    <w:rPr>
      <w:sz w:val="18"/>
      <w:szCs w:val="18"/>
    </w:rPr>
  </w:style>
  <w:style w:type="character" w:customStyle="1" w:styleId="a6">
    <w:name w:val="页脚 字符"/>
    <w:basedOn w:val="a0"/>
    <w:link w:val="a5"/>
    <w:uiPriority w:val="99"/>
    <w:rsid w:val="00DD255F"/>
    <w:rPr>
      <w:sz w:val="18"/>
      <w:szCs w:val="18"/>
    </w:rPr>
  </w:style>
  <w:style w:type="character" w:styleId="a7">
    <w:name w:val="Hyperlink"/>
    <w:basedOn w:val="a0"/>
    <w:uiPriority w:val="99"/>
    <w:unhideWhenUsed/>
    <w:rsid w:val="00BC2F44"/>
    <w:rPr>
      <w:color w:val="0563C1" w:themeColor="hyperlink"/>
      <w:u w:val="single"/>
    </w:rPr>
  </w:style>
  <w:style w:type="character" w:styleId="a8">
    <w:name w:val="Unresolved Mention"/>
    <w:basedOn w:val="a0"/>
    <w:uiPriority w:val="99"/>
    <w:semiHidden/>
    <w:unhideWhenUsed/>
    <w:rsid w:val="00BC2F44"/>
    <w:rPr>
      <w:color w:val="605E5C"/>
      <w:shd w:val="clear" w:color="auto" w:fill="E1DFDD"/>
    </w:rPr>
  </w:style>
  <w:style w:type="table" w:customStyle="1" w:styleId="1">
    <w:name w:val="网格型1"/>
    <w:basedOn w:val="a1"/>
    <w:next w:val="a9"/>
    <w:uiPriority w:val="39"/>
    <w:rsid w:val="0056680F"/>
    <w:rPr>
      <w:kern w:val="0"/>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6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L</dc:creator>
  <cp:keywords/>
  <dc:description/>
  <cp:lastModifiedBy>XUEHAN LU</cp:lastModifiedBy>
  <cp:revision>23</cp:revision>
  <dcterms:created xsi:type="dcterms:W3CDTF">2022-12-02T02:21:00Z</dcterms:created>
  <dcterms:modified xsi:type="dcterms:W3CDTF">2025-11-25T14:09:00Z</dcterms:modified>
</cp:coreProperties>
</file>